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A6011C" w14:textId="1AF4BE3F" w:rsidR="00B30147" w:rsidRDefault="00DA797D" w:rsidP="004C21F2">
      <w:r>
        <w:rPr>
          <w:rFonts w:cs="Arial"/>
          <w:noProof/>
          <w:color w:val="11182F"/>
          <w:sz w:val="84"/>
          <w:szCs w:val="84"/>
          <w:lang w:val="en-GB"/>
        </w:rPr>
        <mc:AlternateContent>
          <mc:Choice Requires="wps">
            <w:drawing>
              <wp:anchor distT="0" distB="0" distL="114300" distR="114300" simplePos="0" relativeHeight="251663360" behindDoc="0" locked="0" layoutInCell="1" allowOverlap="1" wp14:anchorId="3A333694" wp14:editId="1C51DD17">
                <wp:simplePos x="0" y="0"/>
                <wp:positionH relativeFrom="column">
                  <wp:posOffset>-116169</wp:posOffset>
                </wp:positionH>
                <wp:positionV relativeFrom="paragraph">
                  <wp:posOffset>563616</wp:posOffset>
                </wp:positionV>
                <wp:extent cx="6909759" cy="1285336"/>
                <wp:effectExtent l="0" t="0" r="0" b="0"/>
                <wp:wrapNone/>
                <wp:docPr id="6" name="Text Box 6"/>
                <wp:cNvGraphicFramePr/>
                <a:graphic xmlns:a="http://schemas.openxmlformats.org/drawingml/2006/main">
                  <a:graphicData uri="http://schemas.microsoft.com/office/word/2010/wordprocessingShape">
                    <wps:wsp>
                      <wps:cNvSpPr txBox="1"/>
                      <wps:spPr>
                        <a:xfrm>
                          <a:off x="0" y="0"/>
                          <a:ext cx="6909759" cy="1285336"/>
                        </a:xfrm>
                        <a:prstGeom prst="rect">
                          <a:avLst/>
                        </a:prstGeom>
                        <a:noFill/>
                        <a:ln w="6350">
                          <a:noFill/>
                        </a:ln>
                      </wps:spPr>
                      <wps:txbx>
                        <w:txbxContent>
                          <w:p w14:paraId="717FE512" w14:textId="5CA90873" w:rsidR="00DA797D" w:rsidRDefault="00474C44">
                            <w:r>
                              <w:rPr>
                                <w:rFonts w:cs="Arial"/>
                                <w:color w:val="FFFFFF" w:themeColor="background1"/>
                                <w:sz w:val="84"/>
                                <w:szCs w:val="84"/>
                                <w:lang w:val="en-GB"/>
                              </w:rPr>
                              <w:t xml:space="preserve">Energy costs statement </w:t>
                            </w:r>
                            <w:r>
                              <w:rPr>
                                <w:rFonts w:cs="Arial"/>
                                <w:color w:val="FFFFFF" w:themeColor="background1"/>
                                <w:sz w:val="84"/>
                                <w:szCs w:val="84"/>
                                <w:lang w:val="en-GB"/>
                              </w:rPr>
                              <w:br/>
                              <w:t>8 September 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A333694" id="_x0000_t202" coordsize="21600,21600" o:spt="202" path="m,l,21600r21600,l21600,xe">
                <v:stroke joinstyle="miter"/>
                <v:path gradientshapeok="t" o:connecttype="rect"/>
              </v:shapetype>
              <v:shape id="Text Box 6" o:spid="_x0000_s1026" type="#_x0000_t202" style="position:absolute;margin-left:-9.15pt;margin-top:44.4pt;width:544.1pt;height:101.2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" filled="f" stroked="f" strokeweight=".5pt">
                <v:textbox>
                  <w:txbxContent>
                    <w:p w14:paraId="717FE512" w14:textId="5CA90873" w:rsidR="00DA797D" w:rsidRDefault="00474C44">
                      <w:r>
                        <w:rPr>
                          <w:rFonts w:cs="Arial"/>
                          <w:color w:val="FFFFFF" w:themeColor="background1"/>
                          <w:sz w:val="84"/>
                          <w:szCs w:val="84"/>
                          <w:lang w:val="en-GB"/>
                        </w:rPr>
                        <w:t xml:space="preserve">Energy costs statement </w:t>
                      </w:r>
                      <w:r>
                        <w:rPr>
                          <w:rFonts w:cs="Arial"/>
                          <w:color w:val="FFFFFF" w:themeColor="background1"/>
                          <w:sz w:val="84"/>
                          <w:szCs w:val="84"/>
                          <w:lang w:val="en-GB"/>
                        </w:rPr>
                        <w:br/>
                        <w:t>8 September 2022</w:t>
                      </w:r>
                    </w:p>
                  </w:txbxContent>
                </v:textbox>
              </v:shape>
            </w:pict>
          </mc:Fallback>
        </mc:AlternateContent>
      </w:r>
      <w:r w:rsidR="00DB4B3B">
        <w:rPr>
          <w:rFonts w:cs="Arial"/>
          <w:noProof/>
          <w:color w:val="11182F"/>
          <w:sz w:val="84"/>
          <w:szCs w:val="84"/>
          <w:lang w:val="en-GB"/>
        </w:rPr>
        <w:drawing>
          <wp:anchor distT="0" distB="0" distL="114300" distR="114300" simplePos="0" relativeHeight="251658239" behindDoc="0" locked="0" layoutInCell="1" allowOverlap="1" wp14:anchorId="1260A33A" wp14:editId="35886900">
            <wp:simplePos x="0" y="0"/>
            <wp:positionH relativeFrom="margin">
              <wp:posOffset>-711835</wp:posOffset>
            </wp:positionH>
            <wp:positionV relativeFrom="paragraph">
              <wp:posOffset>434340</wp:posOffset>
            </wp:positionV>
            <wp:extent cx="7538720" cy="1560830"/>
            <wp:effectExtent l="0" t="0" r="5080" b="1270"/>
            <wp:wrapSquare wrapText="bothSides"/>
            <wp:docPr id="5" name="Picture 5" descr="Abstract background of polygonal 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bstract background of polygonal shape"/>
                    <pic:cNvPicPr/>
                  </pic:nvPicPr>
                  <pic:blipFill>
                    <a:blip r:embed="rId8" cstate="print">
                      <a:duotone>
                        <a:schemeClr val="accent2">
                          <a:shade val="45000"/>
                          <a:satMod val="135000"/>
                        </a:schemeClr>
                        <a:prstClr val="white"/>
                      </a:duotone>
                      <a:alphaModFix amt="20000"/>
                      <a:extLst>
                        <a:ext uri="{BEBA8EAE-BF5A-486C-A8C5-ECC9F3942E4B}">
                          <a14:imgProps xmlns:a14="http://schemas.microsoft.com/office/drawing/2010/main">
                            <a14:imgLayer r:embed="rId9">
                              <a14:imgEffect>
                                <a14:artisticCrisscrossEtching/>
                              </a14:imgEffect>
                              <a14:imgEffect>
                                <a14:colorTemperature colorTemp="3441"/>
                              </a14:imgEffect>
                              <a14:imgEffect>
                                <a14:saturation sat="96000"/>
                              </a14:imgEffect>
                            </a14:imgLayer>
                          </a14:imgProps>
                        </a:ext>
                        <a:ext uri="{28A0092B-C50C-407E-A947-70E740481C1C}">
                          <a14:useLocalDpi xmlns:a14="http://schemas.microsoft.com/office/drawing/2010/main" val="0"/>
                        </a:ext>
                      </a:extLst>
                    </a:blip>
                    <a:stretch>
                      <a:fillRect/>
                    </a:stretch>
                  </pic:blipFill>
                  <pic:spPr>
                    <a:xfrm>
                      <a:off x="0" y="0"/>
                      <a:ext cx="7538720" cy="1560830"/>
                    </a:xfrm>
                    <a:prstGeom prst="rect">
                      <a:avLst/>
                    </a:prstGeom>
                    <a:solidFill>
                      <a:srgbClr val="57C47D">
                        <a:alpha val="79000"/>
                      </a:srgbClr>
                    </a:solidFill>
                  </pic:spPr>
                </pic:pic>
              </a:graphicData>
            </a:graphic>
            <wp14:sizeRelH relativeFrom="margin">
              <wp14:pctWidth>0</wp14:pctWidth>
            </wp14:sizeRelH>
            <wp14:sizeRelV relativeFrom="margin">
              <wp14:pctHeight>0</wp14:pctHeight>
            </wp14:sizeRelV>
          </wp:anchor>
        </w:drawing>
      </w:r>
      <w:r w:rsidR="005825BF">
        <w:rPr>
          <w:b/>
          <w:noProof/>
          <w:color w:val="FFFFFF" w:themeColor="background1"/>
          <w:sz w:val="24"/>
        </w:rPr>
        <w:drawing>
          <wp:anchor distT="0" distB="0" distL="114300" distR="114300" simplePos="0" relativeHeight="251662336" behindDoc="0" locked="0" layoutInCell="1" allowOverlap="1" wp14:anchorId="2C820720" wp14:editId="0B21FBED">
            <wp:simplePos x="0" y="0"/>
            <wp:positionH relativeFrom="page">
              <wp:posOffset>5404006</wp:posOffset>
            </wp:positionH>
            <wp:positionV relativeFrom="topMargin">
              <wp:posOffset>488590</wp:posOffset>
            </wp:positionV>
            <wp:extent cx="1466491" cy="284787"/>
            <wp:effectExtent l="0" t="0" r="635" b="1270"/>
            <wp:wrapSquare wrapText="bothSides"/>
            <wp:docPr id="4" name="Picture 4" descr="A picture containing text, clipart, ge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 clipart, gear&#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66491" cy="284787"/>
                    </a:xfrm>
                    <a:prstGeom prst="rect">
                      <a:avLst/>
                    </a:prstGeom>
                  </pic:spPr>
                </pic:pic>
              </a:graphicData>
            </a:graphic>
            <wp14:sizeRelH relativeFrom="margin">
              <wp14:pctWidth>0</wp14:pctWidth>
            </wp14:sizeRelH>
            <wp14:sizeRelV relativeFrom="margin">
              <wp14:pctHeight>0</wp14:pctHeight>
            </wp14:sizeRelV>
          </wp:anchor>
        </w:drawing>
      </w:r>
      <w:r w:rsidR="005825BF">
        <w:rPr>
          <w:noProof/>
          <w:lang w:val="en-GB" w:eastAsia="en-GB"/>
        </w:rPr>
        <mc:AlternateContent>
          <mc:Choice Requires="wps">
            <w:drawing>
              <wp:anchor distT="0" distB="0" distL="114300" distR="114300" simplePos="0" relativeHeight="251659264" behindDoc="0" locked="0" layoutInCell="1" allowOverlap="1" wp14:anchorId="261960A0" wp14:editId="013ECF41">
                <wp:simplePos x="0" y="0"/>
                <wp:positionH relativeFrom="column">
                  <wp:posOffset>-702945</wp:posOffset>
                </wp:positionH>
                <wp:positionV relativeFrom="page">
                  <wp:posOffset>232410</wp:posOffset>
                </wp:positionV>
                <wp:extent cx="7921625" cy="758825"/>
                <wp:effectExtent l="0" t="0" r="3175" b="3175"/>
                <wp:wrapSquare wrapText="bothSides"/>
                <wp:docPr id="1" name="Text Box 1"/>
                <wp:cNvGraphicFramePr/>
                <a:graphic xmlns:a="http://schemas.openxmlformats.org/drawingml/2006/main">
                  <a:graphicData uri="http://schemas.microsoft.com/office/word/2010/wordprocessingShape">
                    <wps:wsp>
                      <wps:cNvSpPr txBox="1"/>
                      <wps:spPr>
                        <a:xfrm>
                          <a:off x="0" y="0"/>
                          <a:ext cx="7921625" cy="758825"/>
                        </a:xfrm>
                        <a:prstGeom prst="rect">
                          <a:avLst/>
                        </a:prstGeom>
                        <a:solidFill>
                          <a:srgbClr val="004D70"/>
                        </a:solidFill>
                        <a:ln>
                          <a:noFill/>
                        </a:ln>
                        <a:effectLst/>
                      </wps:spPr>
                      <wps:style>
                        <a:lnRef idx="0">
                          <a:schemeClr val="accent1"/>
                        </a:lnRef>
                        <a:fillRef idx="0">
                          <a:schemeClr val="accent1"/>
                        </a:fillRef>
                        <a:effectRef idx="0">
                          <a:schemeClr val="accent1"/>
                        </a:effectRef>
                        <a:fontRef idx="minor">
                          <a:schemeClr val="dk1"/>
                        </a:fontRef>
                      </wps:style>
                      <wps:txbx>
                        <w:txbxContent>
                          <w:p w14:paraId="5666CE4D" w14:textId="2D1C9DEA" w:rsidR="00B30147" w:rsidRPr="004C21F2" w:rsidRDefault="00474C44" w:rsidP="00B30147">
                            <w:pPr>
                              <w:spacing w:after="0"/>
                              <w:contextualSpacing/>
                              <w:rPr>
                                <w:rFonts w:cs="Helvetica"/>
                                <w:b/>
                                <w:bCs/>
                                <w:color w:val="FFFFFF" w:themeColor="background1"/>
                                <w:sz w:val="24"/>
                                <w:szCs w:val="24"/>
                                <w:lang w:val="en-GB"/>
                              </w:rPr>
                            </w:pPr>
                            <w:r>
                              <w:rPr>
                                <w:rFonts w:cs="Helvetica"/>
                                <w:b/>
                                <w:bCs/>
                                <w:color w:val="FFFFFF" w:themeColor="background1"/>
                                <w:sz w:val="24"/>
                                <w:szCs w:val="24"/>
                                <w:lang w:val="en-GB"/>
                              </w:rPr>
                              <w:t>Budget and tax updates</w:t>
                            </w:r>
                          </w:p>
                        </w:txbxContent>
                      </wps:txbx>
                      <wps:bodyPr rot="0" spcFirstLastPara="0" vertOverflow="overflow" horzOverflow="overflow" vert="horz" wrap="square" lIns="548640" tIns="45720" rIns="5486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1960A0" id="Text Box 1" o:spid="_x0000_s1027" type="#_x0000_t202" style="position:absolute;margin-left:-55.35pt;margin-top:18.3pt;width:623.75pt;height:5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" fillcolor="#004d70" stroked="f">
                <v:textbox inset="43.2pt,,43.2pt">
                  <w:txbxContent>
                    <w:p w14:paraId="5666CE4D" w14:textId="2D1C9DEA" w:rsidR="00B30147" w:rsidRPr="004C21F2" w:rsidRDefault="00474C44" w:rsidP="00B30147">
                      <w:pPr>
                        <w:spacing w:after="0"/>
                        <w:contextualSpacing/>
                        <w:rPr>
                          <w:rFonts w:cs="Helvetica"/>
                          <w:b/>
                          <w:bCs/>
                          <w:color w:val="FFFFFF" w:themeColor="background1"/>
                          <w:sz w:val="24"/>
                          <w:szCs w:val="24"/>
                          <w:lang w:val="en-GB"/>
                        </w:rPr>
                      </w:pPr>
                      <w:r>
                        <w:rPr>
                          <w:rFonts w:cs="Helvetica"/>
                          <w:b/>
                          <w:bCs/>
                          <w:color w:val="FFFFFF" w:themeColor="background1"/>
                          <w:sz w:val="24"/>
                          <w:szCs w:val="24"/>
                          <w:lang w:val="en-GB"/>
                        </w:rPr>
                        <w:t>Budget and tax updates</w:t>
                      </w:r>
                    </w:p>
                  </w:txbxContent>
                </v:textbox>
                <w10:wrap type="square" anchory="page"/>
              </v:shape>
            </w:pict>
          </mc:Fallback>
        </mc:AlternateContent>
      </w:r>
    </w:p>
    <w:p w14:paraId="4C35533A" w14:textId="4F718FC1" w:rsidR="00474C44" w:rsidRDefault="00474C44" w:rsidP="00AA40A4">
      <w:pPr>
        <w:rPr>
          <w:rFonts w:asciiTheme="minorHAnsi" w:hAnsiTheme="minorHAnsi" w:cstheme="minorHAnsi"/>
          <w:color w:val="000000" w:themeColor="text1"/>
        </w:rPr>
      </w:pPr>
      <w:bookmarkStart w:id="0" w:name="OLE_LINK1"/>
      <w:bookmarkStart w:id="1" w:name="OLE_LINK2"/>
      <w:bookmarkStart w:id="2" w:name="OLE_LINK6"/>
      <w:r>
        <w:rPr>
          <w:b/>
        </w:rPr>
        <w:t xml:space="preserve">After a prolonged period of speculation, the </w:t>
      </w:r>
      <w:r w:rsidR="008424BB">
        <w:rPr>
          <w:b/>
        </w:rPr>
        <w:t xml:space="preserve">new </w:t>
      </w:r>
      <w:r>
        <w:rPr>
          <w:b/>
        </w:rPr>
        <w:t xml:space="preserve">Prime Minister </w:t>
      </w:r>
      <w:r w:rsidR="008424BB">
        <w:rPr>
          <w:b/>
        </w:rPr>
        <w:t xml:space="preserve">Liz Truss </w:t>
      </w:r>
      <w:r>
        <w:rPr>
          <w:b/>
        </w:rPr>
        <w:t xml:space="preserve">has announced </w:t>
      </w:r>
      <w:r w:rsidR="008424BB">
        <w:rPr>
          <w:b/>
        </w:rPr>
        <w:t xml:space="preserve">preliminary </w:t>
      </w:r>
      <w:r>
        <w:rPr>
          <w:b/>
        </w:rPr>
        <w:t xml:space="preserve">details of how the government plans to deal with the energy price crisis. </w:t>
      </w:r>
    </w:p>
    <w:p w14:paraId="486A095F" w14:textId="0C0156C4" w:rsidR="00474C44" w:rsidRDefault="00474C44" w:rsidP="00FF7C85">
      <w:r>
        <w:t>In late May</w:t>
      </w:r>
      <w:r w:rsidR="008424BB">
        <w:t xml:space="preserve"> this year</w:t>
      </w:r>
      <w:r>
        <w:t>, the then Chancellor, Rishi Sunak, announced a range of measures to reduce the impact of the</w:t>
      </w:r>
      <w:r w:rsidR="005E7230">
        <w:t xml:space="preserve"> anticipated</w:t>
      </w:r>
      <w:r>
        <w:t xml:space="preserve"> October 2022 Ofgem utility price cap increase. Mr Sunak’s announcement followed an earlier assistance package revealed in February, ahead of the </w:t>
      </w:r>
      <w:r w:rsidR="005E7230">
        <w:t xml:space="preserve">April 2022 </w:t>
      </w:r>
      <w:r>
        <w:t>Ofgem price cap increase from £1,277 to £1,971.</w:t>
      </w:r>
    </w:p>
    <w:p w14:paraId="56B91F3C" w14:textId="315A7374" w:rsidR="00474C44" w:rsidRDefault="00474C44" w:rsidP="00FF7C85">
      <w:r>
        <w:t>Sunak’s measures, which included a flat £400 off all consumers’ bills, were made at a time when the price cap was projected to rise to £2,800 a year for the October 2022</w:t>
      </w:r>
      <w:r w:rsidR="005E7230">
        <w:t xml:space="preserve"> </w:t>
      </w:r>
      <w:r w:rsidR="004945A5" w:rsidRPr="004945A5">
        <w:rPr>
          <w:highlight w:val="yellow"/>
        </w:rPr>
        <w:softHyphen/>
      </w:r>
      <w:r w:rsidR="004945A5" w:rsidRPr="004945A5">
        <w:rPr>
          <w:highlight w:val="yellow"/>
        </w:rPr>
        <w:softHyphen/>
      </w:r>
      <w:r w:rsidR="002024E9">
        <w:t xml:space="preserve">– </w:t>
      </w:r>
      <w:r>
        <w:t>March 2023 period. Since then:</w:t>
      </w:r>
    </w:p>
    <w:p w14:paraId="16F01911" w14:textId="28E4171B" w:rsidR="00474C44" w:rsidRDefault="00474C44" w:rsidP="005E7230">
      <w:pPr>
        <w:pStyle w:val="ListBullet"/>
      </w:pPr>
      <w:r>
        <w:t>Ofgem</w:t>
      </w:r>
      <w:r w:rsidRPr="00956FC3">
        <w:t xml:space="preserve"> </w:t>
      </w:r>
      <w:r>
        <w:t xml:space="preserve">has reduced the </w:t>
      </w:r>
      <w:r w:rsidRPr="00956FC3">
        <w:t>energy price cap</w:t>
      </w:r>
      <w:r>
        <w:t xml:space="preserve"> review period from six months to three in an effort to bring more stability </w:t>
      </w:r>
      <w:r w:rsidR="005E7230">
        <w:t xml:space="preserve">to </w:t>
      </w:r>
      <w:r>
        <w:t>energy markets.</w:t>
      </w:r>
    </w:p>
    <w:p w14:paraId="13FE539B" w14:textId="77777777" w:rsidR="00474C44" w:rsidRDefault="00474C44" w:rsidP="005E7230">
      <w:pPr>
        <w:pStyle w:val="ListBullet"/>
        <w:numPr>
          <w:ilvl w:val="0"/>
          <w:numId w:val="0"/>
        </w:numPr>
        <w:ind w:left="567"/>
      </w:pPr>
    </w:p>
    <w:p w14:paraId="30C38487" w14:textId="5F78205C" w:rsidR="00474C44" w:rsidRDefault="00474C44" w:rsidP="005E7230">
      <w:pPr>
        <w:pStyle w:val="ListBullet"/>
      </w:pPr>
      <w:r>
        <w:t>The regulator has set a price cap for October</w:t>
      </w:r>
      <w:r w:rsidR="005E7230">
        <w:t xml:space="preserve"> </w:t>
      </w:r>
      <w:r w:rsidR="005E7230">
        <w:softHyphen/>
      </w:r>
      <w:r w:rsidR="00801B37">
        <w:t>–</w:t>
      </w:r>
      <w:r w:rsidR="005E7230">
        <w:t xml:space="preserve"> </w:t>
      </w:r>
      <w:r>
        <w:t>December 2022 of £3,549, an 80% rise on the current level.</w:t>
      </w:r>
    </w:p>
    <w:p w14:paraId="6E9CAAE2" w14:textId="77777777" w:rsidR="00191D38" w:rsidRPr="004A14A0" w:rsidRDefault="00191D38" w:rsidP="00191D38">
      <w:pPr>
        <w:pStyle w:val="ListBullet"/>
        <w:numPr>
          <w:ilvl w:val="0"/>
          <w:numId w:val="0"/>
        </w:numPr>
      </w:pPr>
    </w:p>
    <w:p w14:paraId="7A9AD4DE" w14:textId="4FAF4213" w:rsidR="00474C44" w:rsidRPr="004A14A0" w:rsidRDefault="00474C44" w:rsidP="005E7230">
      <w:pPr>
        <w:pStyle w:val="ListBullet"/>
      </w:pPr>
      <w:r>
        <w:t>Projections for the next cap reviews suggest</w:t>
      </w:r>
      <w:r w:rsidR="00073006">
        <w:t>ed</w:t>
      </w:r>
      <w:r>
        <w:t xml:space="preserve"> the annual bill could exceed £6,500 by April </w:t>
      </w:r>
      <w:r w:rsidR="005E7230">
        <w:t>2023</w:t>
      </w:r>
      <w:r>
        <w:t>.</w:t>
      </w:r>
    </w:p>
    <w:p w14:paraId="60B4142D" w14:textId="77777777" w:rsidR="004945A5" w:rsidRDefault="004945A5" w:rsidP="00AA40A4"/>
    <w:p w14:paraId="1B6384EB" w14:textId="42DE2EBE" w:rsidR="00191D38" w:rsidRDefault="00AA40A4" w:rsidP="00AA40A4">
      <w:r>
        <w:t xml:space="preserve">The problems created for the government by soaring gas prices </w:t>
      </w:r>
      <w:r w:rsidR="00191D38">
        <w:t xml:space="preserve">are </w:t>
      </w:r>
      <w:r>
        <w:t xml:space="preserve">exacerbated by the fact that many businesses renew their fixed term energy contracts (typically for one or two years) in October. </w:t>
      </w:r>
    </w:p>
    <w:p w14:paraId="0F7B88DA" w14:textId="113DCE64" w:rsidR="007C41DD" w:rsidRDefault="00AA40A4" w:rsidP="0052135E">
      <w:r>
        <w:t>The commercial sector does not benefit from any price cap and stories have emerged of small businesses seeing their utility costs jumping as much as tenfold or even being refused new contracts. Outside the commercial sector, there have been similar issues for schools and hospitals.</w:t>
      </w:r>
    </w:p>
    <w:p w14:paraId="6FAB20A8" w14:textId="77777777" w:rsidR="007C41DD" w:rsidRPr="00AA40A4" w:rsidRDefault="007C41DD" w:rsidP="007C41DD">
      <w:pPr>
        <w:rPr>
          <w:b/>
          <w:bCs/>
        </w:rPr>
      </w:pPr>
      <w:r>
        <w:rPr>
          <w:b/>
          <w:bCs/>
        </w:rPr>
        <w:t xml:space="preserve">The </w:t>
      </w:r>
      <w:r w:rsidRPr="00AA40A4">
        <w:rPr>
          <w:b/>
          <w:bCs/>
        </w:rPr>
        <w:t>Government plan</w:t>
      </w:r>
    </w:p>
    <w:p w14:paraId="1310C1D9" w14:textId="77777777" w:rsidR="007C41DD" w:rsidRDefault="007C41DD" w:rsidP="007C41DD">
      <w:bookmarkStart w:id="3" w:name="_Hlk113545530"/>
      <w:r>
        <w:t>In today’s announcement during a House of Commons General Debate on UK Energy Costs, the new Prime Minister announced that:</w:t>
      </w:r>
    </w:p>
    <w:p w14:paraId="04E95C35" w14:textId="27C07CE8" w:rsidR="007C41DD" w:rsidRDefault="007C41DD" w:rsidP="007C41DD">
      <w:pPr>
        <w:pStyle w:val="ListBullet"/>
      </w:pPr>
      <w:r>
        <w:t xml:space="preserve">The government </w:t>
      </w:r>
      <w:r w:rsidR="002024E9">
        <w:t>is introducing</w:t>
      </w:r>
      <w:r>
        <w:t xml:space="preserve"> an Energy Price Guarantee (EPG) set at an annual £2,500 for the next two years from 1 October 2022. This will apply on the same basis as the existing Ofgem cap, i.e. a regional based limit on standing and unit charges in England, Wales and Scotland, </w:t>
      </w:r>
      <w:r>
        <w:rPr>
          <w:i/>
          <w:iCs/>
        </w:rPr>
        <w:t xml:space="preserve">not </w:t>
      </w:r>
      <w:r>
        <w:t>on total bills.</w:t>
      </w:r>
    </w:p>
    <w:bookmarkEnd w:id="3"/>
    <w:p w14:paraId="0B2398D7" w14:textId="77777777" w:rsidR="007C41DD" w:rsidRDefault="007C41DD" w:rsidP="0052135E"/>
    <w:p w14:paraId="5FBF4DD1" w14:textId="1491FCFB" w:rsidR="00AA40A4" w:rsidRPr="007C41DD" w:rsidRDefault="009A4F87" w:rsidP="0052135E">
      <w:r>
        <w:rPr>
          <w:noProof/>
        </w:rPr>
        <w:lastRenderedPageBreak/>
        <w:drawing>
          <wp:inline distT="0" distB="0" distL="0" distR="0" wp14:anchorId="3FA2F217" wp14:editId="3A332E48">
            <wp:extent cx="5819775" cy="3543300"/>
            <wp:effectExtent l="0" t="0" r="9525" b="0"/>
            <wp:docPr id="2" name="Chart 2">
              <a:extLst xmlns:a="http://schemas.openxmlformats.org/drawingml/2006/main">
                <a:ext uri="{FF2B5EF4-FFF2-40B4-BE49-F238E27FC236}">
                  <a16:creationId xmlns:a16="http://schemas.microsoft.com/office/drawing/2014/main" id="{D307F481-0546-65FF-8298-605CAC91D2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bookmarkEnd w:id="0"/>
    <w:bookmarkEnd w:id="1"/>
    <w:p w14:paraId="2C5A7790" w14:textId="3A1042E0" w:rsidR="007C41DD" w:rsidRPr="00361A8B" w:rsidRDefault="00361A8B" w:rsidP="007C41DD">
      <w:pPr>
        <w:pStyle w:val="ListBullet"/>
        <w:numPr>
          <w:ilvl w:val="0"/>
          <w:numId w:val="0"/>
        </w:numPr>
        <w:rPr>
          <w:rFonts w:eastAsia="Times New Roman"/>
          <w:i/>
          <w:iCs/>
          <w:sz w:val="20"/>
          <w:szCs w:val="20"/>
        </w:rPr>
      </w:pPr>
      <w:r w:rsidRPr="00361A8B">
        <w:rPr>
          <w:i/>
          <w:iCs/>
          <w:sz w:val="20"/>
          <w:szCs w:val="20"/>
        </w:rPr>
        <w:t xml:space="preserve">Source: </w:t>
      </w:r>
      <w:hyperlink r:id="rId12" w:history="1">
        <w:r w:rsidRPr="00361A8B">
          <w:rPr>
            <w:rStyle w:val="Hyperlink"/>
            <w:rFonts w:eastAsia="Times New Roman"/>
            <w:i/>
            <w:iCs/>
            <w:sz w:val="20"/>
            <w:szCs w:val="20"/>
          </w:rPr>
          <w:t>Ofgem</w:t>
        </w:r>
      </w:hyperlink>
      <w:r w:rsidRPr="00361A8B">
        <w:rPr>
          <w:rFonts w:eastAsia="Times New Roman"/>
          <w:i/>
          <w:iCs/>
          <w:sz w:val="20"/>
          <w:szCs w:val="20"/>
        </w:rPr>
        <w:t xml:space="preserve">, </w:t>
      </w:r>
      <w:hyperlink r:id="rId13" w:history="1">
        <w:r w:rsidRPr="00361A8B">
          <w:rPr>
            <w:rStyle w:val="Hyperlink"/>
            <w:rFonts w:eastAsia="Times New Roman"/>
            <w:i/>
            <w:iCs/>
            <w:sz w:val="20"/>
            <w:szCs w:val="20"/>
          </w:rPr>
          <w:t>Cornwall Insights </w:t>
        </w:r>
      </w:hyperlink>
      <w:r w:rsidRPr="00361A8B">
        <w:rPr>
          <w:rFonts w:eastAsia="Times New Roman"/>
          <w:i/>
          <w:iCs/>
          <w:sz w:val="20"/>
          <w:szCs w:val="20"/>
        </w:rPr>
        <w:t xml:space="preserve">and </w:t>
      </w:r>
      <w:hyperlink r:id="rId14" w:history="1">
        <w:r w:rsidRPr="00361A8B">
          <w:rPr>
            <w:rStyle w:val="Hyperlink"/>
            <w:rFonts w:eastAsia="Times New Roman"/>
            <w:i/>
            <w:iCs/>
            <w:sz w:val="20"/>
            <w:szCs w:val="20"/>
          </w:rPr>
          <w:t>DBEIS</w:t>
        </w:r>
      </w:hyperlink>
    </w:p>
    <w:p w14:paraId="45E31744" w14:textId="77777777" w:rsidR="00361A8B" w:rsidRDefault="00361A8B" w:rsidP="007C41DD">
      <w:pPr>
        <w:pStyle w:val="ListBullet"/>
        <w:numPr>
          <w:ilvl w:val="0"/>
          <w:numId w:val="0"/>
        </w:numPr>
      </w:pPr>
    </w:p>
    <w:p w14:paraId="0987F265" w14:textId="16B3240D" w:rsidR="00474C44" w:rsidRDefault="00474C44" w:rsidP="00FF7C85">
      <w:pPr>
        <w:pStyle w:val="ListBullet"/>
      </w:pPr>
      <w:r>
        <w:t xml:space="preserve">The £400 flat rate payment, spread over six months, announced in May will remain in place. </w:t>
      </w:r>
      <w:r w:rsidR="003C7510">
        <w:t>This reduces</w:t>
      </w:r>
      <w:r>
        <w:t xml:space="preserve"> October</w:t>
      </w:r>
      <w:r w:rsidR="00FA6D3C">
        <w:t xml:space="preserve"> </w:t>
      </w:r>
      <w:r w:rsidR="002024E9">
        <w:t xml:space="preserve">– </w:t>
      </w:r>
      <w:r>
        <w:t>December 2022 bills by £66 a month and January</w:t>
      </w:r>
      <w:r w:rsidR="00191D38">
        <w:t xml:space="preserve"> </w:t>
      </w:r>
      <w:r w:rsidR="002024E9">
        <w:t xml:space="preserve">– </w:t>
      </w:r>
      <w:r>
        <w:t xml:space="preserve">March 2023 bills by £67 a month. Arguably this means the </w:t>
      </w:r>
      <w:r>
        <w:rPr>
          <w:i/>
          <w:iCs/>
        </w:rPr>
        <w:t xml:space="preserve">effective </w:t>
      </w:r>
      <w:r w:rsidRPr="001E6582">
        <w:t>cap</w:t>
      </w:r>
      <w:r>
        <w:rPr>
          <w:i/>
          <w:iCs/>
        </w:rPr>
        <w:t xml:space="preserve"> </w:t>
      </w:r>
      <w:r>
        <w:t xml:space="preserve">is £1,700 through to March and £2,500 thereafter. </w:t>
      </w:r>
    </w:p>
    <w:p w14:paraId="3F6AB66D" w14:textId="77777777" w:rsidR="00474C44" w:rsidRPr="00394746" w:rsidRDefault="00474C44" w:rsidP="00FF7C85">
      <w:pPr>
        <w:pStyle w:val="ListBullet"/>
        <w:numPr>
          <w:ilvl w:val="0"/>
          <w:numId w:val="0"/>
        </w:numPr>
        <w:ind w:left="567"/>
      </w:pPr>
    </w:p>
    <w:p w14:paraId="7BE5541A" w14:textId="6AB350EB" w:rsidR="00474C44" w:rsidRDefault="00191D38" w:rsidP="00FF7C85">
      <w:pPr>
        <w:pStyle w:val="ListBullet"/>
      </w:pPr>
      <w:r>
        <w:t>O</w:t>
      </w:r>
      <w:r w:rsidR="00474C44">
        <w:t>ther assistance announced in May, such as the £300 additional payment for pensioners</w:t>
      </w:r>
      <w:r w:rsidR="00FA6D3C">
        <w:t>,</w:t>
      </w:r>
      <w:r w:rsidR="00474C44">
        <w:t xml:space="preserve"> remain</w:t>
      </w:r>
      <w:r w:rsidR="0026056C">
        <w:t>s</w:t>
      </w:r>
      <w:r w:rsidR="00474C44">
        <w:t xml:space="preserve"> in place. </w:t>
      </w:r>
    </w:p>
    <w:p w14:paraId="27D867DA" w14:textId="77777777" w:rsidR="00474C44" w:rsidRPr="00A27697" w:rsidRDefault="00474C44" w:rsidP="00FF7C85">
      <w:pPr>
        <w:pStyle w:val="ListBullet"/>
        <w:numPr>
          <w:ilvl w:val="0"/>
          <w:numId w:val="0"/>
        </w:numPr>
        <w:ind w:left="567"/>
      </w:pPr>
    </w:p>
    <w:p w14:paraId="3414DA28" w14:textId="6B70E1F3" w:rsidR="00474C44" w:rsidRDefault="003C7510" w:rsidP="00FF7C85">
      <w:pPr>
        <w:pStyle w:val="ListBullet"/>
      </w:pPr>
      <w:r>
        <w:t>G</w:t>
      </w:r>
      <w:r w:rsidR="00474C44">
        <w:t xml:space="preserve">reen levies </w:t>
      </w:r>
      <w:r w:rsidR="002024E9">
        <w:t>are</w:t>
      </w:r>
      <w:r w:rsidR="00474C44">
        <w:t xml:space="preserve"> temporarily suspended, an adjustment included in the EPG. </w:t>
      </w:r>
    </w:p>
    <w:p w14:paraId="1F0200B5" w14:textId="77777777" w:rsidR="00474C44" w:rsidRPr="0066704A" w:rsidRDefault="00474C44" w:rsidP="00FF7C85">
      <w:pPr>
        <w:pStyle w:val="ListBullet"/>
        <w:numPr>
          <w:ilvl w:val="0"/>
          <w:numId w:val="0"/>
        </w:numPr>
        <w:ind w:left="567"/>
      </w:pPr>
    </w:p>
    <w:p w14:paraId="2AE1E0DE" w14:textId="10607952" w:rsidR="00474C44" w:rsidRDefault="002024E9" w:rsidP="00FF7C85">
      <w:pPr>
        <w:pStyle w:val="ListBullet"/>
      </w:pPr>
      <w:r>
        <w:t>H</w:t>
      </w:r>
      <w:r w:rsidR="00474C44">
        <w:t xml:space="preserve">ouseholds </w:t>
      </w:r>
      <w:r w:rsidR="00FA6D3C">
        <w:t>using</w:t>
      </w:r>
      <w:r w:rsidR="00474C44">
        <w:t xml:space="preserve"> heating oil and LPG</w:t>
      </w:r>
      <w:r>
        <w:t xml:space="preserve"> will receive discretionary payments</w:t>
      </w:r>
      <w:r w:rsidR="00474C44">
        <w:t>.</w:t>
      </w:r>
    </w:p>
    <w:p w14:paraId="367C7892" w14:textId="77777777" w:rsidR="00474C44" w:rsidRPr="006E7472" w:rsidRDefault="00474C44" w:rsidP="00FF7C85">
      <w:pPr>
        <w:pStyle w:val="ListBullet"/>
        <w:numPr>
          <w:ilvl w:val="0"/>
          <w:numId w:val="0"/>
        </w:numPr>
        <w:ind w:left="567"/>
      </w:pPr>
    </w:p>
    <w:p w14:paraId="602A3D4C" w14:textId="77777777" w:rsidR="00474C44" w:rsidRDefault="00474C44" w:rsidP="00FF7C85">
      <w:pPr>
        <w:pStyle w:val="ListBullet"/>
      </w:pPr>
      <w:r>
        <w:t>The same level of support will be given to households in Northern Ireland.</w:t>
      </w:r>
    </w:p>
    <w:p w14:paraId="4F7E78A8" w14:textId="77777777" w:rsidR="00474C44" w:rsidRPr="003F48A2" w:rsidRDefault="00474C44" w:rsidP="00FF7C85">
      <w:pPr>
        <w:pStyle w:val="ListBullet"/>
        <w:numPr>
          <w:ilvl w:val="0"/>
          <w:numId w:val="0"/>
        </w:numPr>
        <w:ind w:left="567"/>
      </w:pPr>
    </w:p>
    <w:p w14:paraId="41E79C06" w14:textId="307E2FCF" w:rsidR="00474C44" w:rsidRDefault="00474C44" w:rsidP="00FF7C85">
      <w:pPr>
        <w:pStyle w:val="ListBullet"/>
      </w:pPr>
      <w:r>
        <w:t>The government ‘</w:t>
      </w:r>
      <w:r w:rsidRPr="007C0F74">
        <w:t>will also support all business, charities and public sector organisations with their energy costs this winter, offering an equivalent guarantee for six months</w:t>
      </w:r>
      <w:r>
        <w:t xml:space="preserve">’. After that period further support will be </w:t>
      </w:r>
      <w:r w:rsidR="002024E9">
        <w:t>p</w:t>
      </w:r>
      <w:r w:rsidR="0026056C">
        <w:t>rovided</w:t>
      </w:r>
      <w:r w:rsidR="002024E9">
        <w:t xml:space="preserve"> </w:t>
      </w:r>
      <w:r>
        <w:t xml:space="preserve">to vulnerable sectors, such as the hospitality sector. </w:t>
      </w:r>
    </w:p>
    <w:p w14:paraId="6D596798" w14:textId="77777777" w:rsidR="00474C44" w:rsidRPr="00636ABE" w:rsidRDefault="00474C44" w:rsidP="00474C44">
      <w:pPr>
        <w:pStyle w:val="ListParagraph"/>
        <w:rPr>
          <w:rFonts w:ascii="Calibri" w:hAnsi="Calibri" w:cs="Calibri"/>
          <w:color w:val="000000" w:themeColor="text1"/>
        </w:rPr>
      </w:pPr>
    </w:p>
    <w:p w14:paraId="19E8351F" w14:textId="794F47B7" w:rsidR="00474C44" w:rsidRPr="00FF7C85" w:rsidRDefault="00474C44" w:rsidP="00FF7C85">
      <w:pPr>
        <w:rPr>
          <w:b/>
          <w:bCs/>
        </w:rPr>
      </w:pPr>
      <w:r w:rsidRPr="00FF7C85">
        <w:rPr>
          <w:b/>
          <w:bCs/>
        </w:rPr>
        <w:t>Details of the funding for these measures will be announced by the Chancellor in his fiscal statement ‘later this month’</w:t>
      </w:r>
      <w:r w:rsidR="003C7510">
        <w:rPr>
          <w:b/>
          <w:bCs/>
        </w:rPr>
        <w:t>,</w:t>
      </w:r>
      <w:r w:rsidRPr="00FF7C85">
        <w:rPr>
          <w:b/>
          <w:bCs/>
        </w:rPr>
        <w:t xml:space="preserve"> currently expected </w:t>
      </w:r>
      <w:r w:rsidR="00191D38">
        <w:rPr>
          <w:b/>
          <w:bCs/>
        </w:rPr>
        <w:t>in the week of 19</w:t>
      </w:r>
      <w:r w:rsidRPr="00FF7C85">
        <w:rPr>
          <w:b/>
          <w:bCs/>
        </w:rPr>
        <w:t xml:space="preserve"> September.</w:t>
      </w:r>
    </w:p>
    <w:bookmarkEnd w:id="2"/>
    <w:p w14:paraId="53247B0B" w14:textId="4C087F47" w:rsidR="00191D38" w:rsidRPr="00191D38" w:rsidRDefault="00191D38" w:rsidP="007474BE">
      <w:r w:rsidRPr="00191D38">
        <w:t>For more on the government’s announcements, see:</w:t>
      </w:r>
    </w:p>
    <w:p w14:paraId="29FD33F5" w14:textId="2F567D13" w:rsidR="00191D38" w:rsidRDefault="003436D4" w:rsidP="007474BE">
      <w:pPr>
        <w:rPr>
          <w:rStyle w:val="Hyperlink"/>
        </w:rPr>
      </w:pPr>
      <w:hyperlink r:id="rId15" w:history="1">
        <w:r w:rsidR="00191D38" w:rsidRPr="00191D38">
          <w:rPr>
            <w:rStyle w:val="Hyperlink"/>
          </w:rPr>
          <w:t>https://www.gov.uk/government/news/government-announces-energy-price-guarantee-for-families-and-businesses-while-urgently-taking-action-to-reform-broken-energy-market</w:t>
        </w:r>
      </w:hyperlink>
      <w:r w:rsidR="00193A33">
        <w:rPr>
          <w:rStyle w:val="Hyperlink"/>
        </w:rPr>
        <w:t xml:space="preserve"> </w:t>
      </w:r>
    </w:p>
    <w:p w14:paraId="7E9CF7C1" w14:textId="4B8492D8" w:rsidR="00F0007A" w:rsidRPr="00F0007A" w:rsidRDefault="00191D38" w:rsidP="007474BE">
      <w:pPr>
        <w:rPr>
          <w:rStyle w:val="Hyperlink"/>
          <w:color w:val="2A2A2A" w:themeColor="text2"/>
          <w:u w:val="none"/>
        </w:rPr>
      </w:pPr>
      <w:r w:rsidRPr="00191D38">
        <w:t>Further information on different forms of assistance for households can be found at</w:t>
      </w:r>
      <w:r w:rsidR="00A47FF7">
        <w:t>:</w:t>
      </w:r>
    </w:p>
    <w:p w14:paraId="46D53B40" w14:textId="14899EC7" w:rsidR="00191D38" w:rsidRPr="009F267F" w:rsidRDefault="00191D38" w:rsidP="007474BE">
      <w:pPr>
        <w:rPr>
          <w:rStyle w:val="Hyperlink"/>
        </w:rPr>
      </w:pPr>
      <w:r w:rsidRPr="00191D38">
        <w:rPr>
          <w:rStyle w:val="Hyperlink"/>
        </w:rPr>
        <w:t>https://helpforhouseholds.campaign.gov.uk/</w:t>
      </w:r>
    </w:p>
    <w:sectPr w:rsidR="00191D38" w:rsidRPr="009F267F" w:rsidSect="004C21F2">
      <w:footerReference w:type="default" r:id="rId16"/>
      <w:footerReference w:type="first" r:id="rId17"/>
      <w:pgSz w:w="11907" w:h="16839" w:code="9"/>
      <w:pgMar w:top="851" w:right="1134" w:bottom="1077" w:left="1134" w:header="0" w:footer="357"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4298FD" w14:textId="77777777" w:rsidR="009A4C49" w:rsidRDefault="009A4C49">
      <w:pPr>
        <w:spacing w:after="0"/>
      </w:pPr>
      <w:r>
        <w:separator/>
      </w:r>
    </w:p>
  </w:endnote>
  <w:endnote w:type="continuationSeparator" w:id="0">
    <w:p w14:paraId="78461ECD" w14:textId="77777777" w:rsidR="009A4C49" w:rsidRDefault="009A4C4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47 Light Condensed">
    <w:altName w:val="Arial"/>
    <w:charset w:val="00"/>
    <w:family w:val="auto"/>
    <w:pitch w:val="variable"/>
    <w:sig w:usb0="00000003" w:usb1="00000000" w:usb2="00000000" w:usb3="00000000" w:csb0="00000001" w:csb1="00000000"/>
  </w:font>
  <w:font w:name="SimHei">
    <w:altName w:val="黑体"/>
    <w:panose1 w:val="02010600030101010101"/>
    <w:charset w:val="86"/>
    <w:family w:val="modern"/>
    <w:pitch w:val="fixed"/>
    <w:sig w:usb0="800002BF" w:usb1="38CF7CFA" w:usb2="00000016" w:usb3="00000000" w:csb0="00040001"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A83E90" w14:textId="4ACCDFA1" w:rsidR="009E458A" w:rsidRPr="0034667F" w:rsidRDefault="0034667F" w:rsidP="009E458A">
    <w:pPr>
      <w:spacing w:after="0"/>
    </w:pPr>
    <w:r w:rsidRPr="005825BF">
      <w:rPr>
        <w:b/>
        <w:color w:val="11182F"/>
        <w:sz w:val="48"/>
      </w:rPr>
      <w:fldChar w:fldCharType="begin"/>
    </w:r>
    <w:r w:rsidRPr="005825BF">
      <w:rPr>
        <w:b/>
        <w:color w:val="11182F"/>
        <w:sz w:val="48"/>
      </w:rPr>
      <w:instrText xml:space="preserve"> PAGE </w:instrText>
    </w:r>
    <w:r w:rsidRPr="005825BF">
      <w:rPr>
        <w:b/>
        <w:color w:val="11182F"/>
        <w:sz w:val="48"/>
      </w:rPr>
      <w:fldChar w:fldCharType="separate"/>
    </w:r>
    <w:r w:rsidR="00EA185F" w:rsidRPr="005825BF">
      <w:rPr>
        <w:b/>
        <w:noProof/>
        <w:color w:val="11182F"/>
        <w:sz w:val="48"/>
      </w:rPr>
      <w:t>3</w:t>
    </w:r>
    <w:r w:rsidRPr="005825BF">
      <w:rPr>
        <w:b/>
        <w:color w:val="11182F"/>
        <w:sz w:val="48"/>
      </w:rPr>
      <w:fldChar w:fldCharType="end"/>
    </w:r>
    <w:r w:rsidR="009E458A" w:rsidRPr="00BE3B1A">
      <w:tab/>
    </w:r>
    <w:r w:rsidR="004C21F2">
      <w:tab/>
    </w:r>
    <w:r w:rsidR="004C21F2">
      <w:tab/>
    </w:r>
    <w:r w:rsidR="004C21F2">
      <w:tab/>
    </w:r>
    <w:r w:rsidR="009E458A" w:rsidRPr="005825BF">
      <w:rPr>
        <w:b/>
        <w:color w:val="11182F"/>
        <w:sz w:val="15"/>
        <w:szCs w:val="15"/>
      </w:rPr>
      <w:t>Taxbriefs</w:t>
    </w:r>
    <w:r w:rsidR="009E458A" w:rsidRPr="005825BF">
      <w:rPr>
        <w:color w:val="11182F"/>
        <w:sz w:val="15"/>
        <w:szCs w:val="15"/>
      </w:rPr>
      <w:t xml:space="preserve">   |   T: 020 </w:t>
    </w:r>
    <w:r w:rsidR="005825BF">
      <w:rPr>
        <w:color w:val="11182F"/>
        <w:sz w:val="15"/>
        <w:szCs w:val="15"/>
      </w:rPr>
      <w:t>8075 8210</w:t>
    </w:r>
    <w:r w:rsidR="009E458A" w:rsidRPr="005825BF">
      <w:rPr>
        <w:color w:val="11182F"/>
        <w:sz w:val="15"/>
        <w:szCs w:val="15"/>
      </w:rPr>
      <w:t xml:space="preserve">   |   E</w:t>
    </w:r>
    <w:r w:rsidR="009E458A" w:rsidRPr="002000F3">
      <w:rPr>
        <w:color w:val="004D70"/>
        <w:sz w:val="15"/>
        <w:szCs w:val="15"/>
      </w:rPr>
      <w:t xml:space="preserve">: </w:t>
    </w:r>
    <w:hyperlink r:id="rId1" w:history="1">
      <w:r w:rsidR="009E458A" w:rsidRPr="005825BF">
        <w:rPr>
          <w:rStyle w:val="Hyperlink"/>
          <w:color w:val="11182F"/>
          <w:sz w:val="15"/>
          <w:szCs w:val="15"/>
        </w:rPr>
        <w:t>clientservices@taxbriefs.co.uk</w:t>
      </w:r>
    </w:hyperlink>
    <w:r w:rsidR="009E458A" w:rsidRPr="005825BF">
      <w:rPr>
        <w:color w:val="11182F"/>
        <w:sz w:val="15"/>
        <w:szCs w:val="15"/>
      </w:rPr>
      <w:t xml:space="preserve">   |   W: </w:t>
    </w:r>
    <w:hyperlink r:id="rId2" w:history="1">
      <w:r w:rsidR="00BB2133" w:rsidRPr="005825BF">
        <w:rPr>
          <w:rStyle w:val="Hyperlink"/>
          <w:color w:val="11182F"/>
          <w:sz w:val="15"/>
          <w:szCs w:val="15"/>
        </w:rPr>
        <w:t>www.taxbriefs.co.uk</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4A70C0" w14:textId="04FC74C7" w:rsidR="009E458A" w:rsidRPr="0034667F" w:rsidRDefault="0034667F" w:rsidP="009E458A">
    <w:pPr>
      <w:spacing w:after="0"/>
    </w:pPr>
    <w:r w:rsidRPr="005825BF">
      <w:rPr>
        <w:b/>
        <w:color w:val="11182F"/>
        <w:sz w:val="48"/>
      </w:rPr>
      <w:fldChar w:fldCharType="begin"/>
    </w:r>
    <w:r w:rsidRPr="005825BF">
      <w:rPr>
        <w:b/>
        <w:color w:val="11182F"/>
        <w:sz w:val="48"/>
      </w:rPr>
      <w:instrText xml:space="preserve"> PAGE </w:instrText>
    </w:r>
    <w:r w:rsidRPr="005825BF">
      <w:rPr>
        <w:b/>
        <w:color w:val="11182F"/>
        <w:sz w:val="48"/>
      </w:rPr>
      <w:fldChar w:fldCharType="separate"/>
    </w:r>
    <w:r w:rsidR="00EA185F" w:rsidRPr="005825BF">
      <w:rPr>
        <w:b/>
        <w:noProof/>
        <w:color w:val="11182F"/>
        <w:sz w:val="48"/>
      </w:rPr>
      <w:t>1</w:t>
    </w:r>
    <w:r w:rsidRPr="005825BF">
      <w:rPr>
        <w:b/>
        <w:color w:val="11182F"/>
        <w:sz w:val="48"/>
      </w:rPr>
      <w:fldChar w:fldCharType="end"/>
    </w:r>
    <w:r w:rsidR="009E458A" w:rsidRPr="00BE3B1A">
      <w:tab/>
    </w:r>
    <w:r w:rsidR="004C21F2">
      <w:tab/>
    </w:r>
    <w:r w:rsidR="004C21F2">
      <w:tab/>
    </w:r>
    <w:r w:rsidR="004C21F2">
      <w:tab/>
    </w:r>
    <w:r w:rsidR="009E458A" w:rsidRPr="005825BF">
      <w:rPr>
        <w:b/>
        <w:color w:val="11182F"/>
        <w:sz w:val="15"/>
        <w:szCs w:val="15"/>
      </w:rPr>
      <w:t>Taxbriefs</w:t>
    </w:r>
    <w:r w:rsidR="009E458A" w:rsidRPr="005825BF">
      <w:rPr>
        <w:color w:val="11182F"/>
        <w:sz w:val="15"/>
        <w:szCs w:val="15"/>
      </w:rPr>
      <w:t xml:space="preserve">   |   T: 020 </w:t>
    </w:r>
    <w:r w:rsidR="005825BF">
      <w:rPr>
        <w:color w:val="11182F"/>
        <w:sz w:val="15"/>
        <w:szCs w:val="15"/>
      </w:rPr>
      <w:t>8075 8210</w:t>
    </w:r>
    <w:r w:rsidR="009E458A" w:rsidRPr="005825BF">
      <w:rPr>
        <w:color w:val="11182F"/>
        <w:sz w:val="15"/>
        <w:szCs w:val="15"/>
      </w:rPr>
      <w:t xml:space="preserve">   |   E</w:t>
    </w:r>
    <w:r w:rsidR="009E458A" w:rsidRPr="002000F3">
      <w:rPr>
        <w:color w:val="004D70"/>
        <w:sz w:val="15"/>
        <w:szCs w:val="15"/>
      </w:rPr>
      <w:t xml:space="preserve">: </w:t>
    </w:r>
    <w:hyperlink r:id="rId1" w:history="1">
      <w:r w:rsidR="009E458A" w:rsidRPr="005825BF">
        <w:rPr>
          <w:rStyle w:val="Hyperlink"/>
          <w:color w:val="11182F"/>
          <w:sz w:val="15"/>
          <w:szCs w:val="15"/>
        </w:rPr>
        <w:t>clientservices@taxbriefs.co.uk</w:t>
      </w:r>
    </w:hyperlink>
    <w:r w:rsidR="009E458A" w:rsidRPr="005825BF">
      <w:rPr>
        <w:color w:val="11182F"/>
        <w:sz w:val="15"/>
        <w:szCs w:val="15"/>
      </w:rPr>
      <w:t xml:space="preserve">   |   W: </w:t>
    </w:r>
    <w:hyperlink r:id="rId2" w:history="1">
      <w:r w:rsidR="005825BF" w:rsidRPr="005825BF">
        <w:rPr>
          <w:rStyle w:val="Hyperlink"/>
          <w:color w:val="11182F"/>
          <w:sz w:val="15"/>
          <w:szCs w:val="15"/>
        </w:rPr>
        <w:t>www.taxbriefs.co.uk</w:t>
      </w:r>
    </w:hyperlink>
    <w:r w:rsidR="005825BF" w:rsidRPr="005825BF">
      <w:rPr>
        <w:rStyle w:val="Hyperlink"/>
        <w:color w:val="57C47D"/>
        <w:sz w:val="15"/>
        <w:szCs w:val="15"/>
        <w:u w:val="none"/>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EFF77" w14:textId="77777777" w:rsidR="009A4C49" w:rsidRDefault="009A4C49">
      <w:pPr>
        <w:spacing w:after="0"/>
      </w:pPr>
      <w:r>
        <w:separator/>
      </w:r>
    </w:p>
  </w:footnote>
  <w:footnote w:type="continuationSeparator" w:id="0">
    <w:p w14:paraId="62736C45" w14:textId="77777777" w:rsidR="009A4C49" w:rsidRDefault="009A4C49">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52CED3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3F62EAC2"/>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AE1E5750"/>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2ECA6A76"/>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C01EF560"/>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D29E9B5A"/>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83EC909E"/>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3CDA06EE"/>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57D4EC10"/>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787A455A"/>
    <w:lvl w:ilvl="0">
      <w:start w:val="1"/>
      <w:numFmt w:val="decimal"/>
      <w:lvlText w:val="%1."/>
      <w:lvlJc w:val="left"/>
      <w:pPr>
        <w:tabs>
          <w:tab w:val="num" w:pos="389"/>
        </w:tabs>
        <w:ind w:left="389" w:hanging="389"/>
      </w:pPr>
      <w:rPr>
        <w:rFonts w:hint="default"/>
      </w:rPr>
    </w:lvl>
  </w:abstractNum>
  <w:abstractNum w:abstractNumId="10" w15:restartNumberingAfterBreak="0">
    <w:nsid w:val="FFFFFF89"/>
    <w:multiLevelType w:val="singleLevel"/>
    <w:tmpl w:val="897604C2"/>
    <w:lvl w:ilvl="0">
      <w:start w:val="1"/>
      <w:numFmt w:val="bullet"/>
      <w:lvlText w:val=""/>
      <w:lvlJc w:val="left"/>
      <w:pPr>
        <w:tabs>
          <w:tab w:val="num" w:pos="432"/>
        </w:tabs>
        <w:ind w:left="432" w:hanging="432"/>
      </w:pPr>
      <w:rPr>
        <w:rFonts w:ascii="Symbol" w:hAnsi="Symbol" w:hint="default"/>
      </w:rPr>
    </w:lvl>
  </w:abstractNum>
  <w:abstractNum w:abstractNumId="11" w15:restartNumberingAfterBreak="0">
    <w:nsid w:val="06C7362E"/>
    <w:multiLevelType w:val="hybridMultilevel"/>
    <w:tmpl w:val="8E04BA40"/>
    <w:lvl w:ilvl="0" w:tplc="772EA5F4">
      <w:start w:val="1"/>
      <w:numFmt w:val="bullet"/>
      <w:pStyle w:val="ListBullet"/>
      <w:lvlText w:val=""/>
      <w:lvlJc w:val="left"/>
      <w:pPr>
        <w:ind w:left="567" w:hanging="283"/>
      </w:pPr>
      <w:rPr>
        <w:rFonts w:ascii="Symbol" w:hAnsi="Symbol" w:hint="default"/>
        <w:color w:val="57C47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CB05CCA"/>
    <w:multiLevelType w:val="hybridMultilevel"/>
    <w:tmpl w:val="11985D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834F1F"/>
    <w:multiLevelType w:val="hybridMultilevel"/>
    <w:tmpl w:val="5F5CD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91496B"/>
    <w:multiLevelType w:val="hybridMultilevel"/>
    <w:tmpl w:val="8B86F606"/>
    <w:lvl w:ilvl="0" w:tplc="61AEB7E4">
      <w:start w:val="1"/>
      <w:numFmt w:val="bullet"/>
      <w:lvlText w:val=""/>
      <w:lvlJc w:val="left"/>
      <w:pPr>
        <w:tabs>
          <w:tab w:val="num" w:pos="389"/>
        </w:tabs>
        <w:ind w:left="389" w:hanging="389"/>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AC05A0"/>
    <w:multiLevelType w:val="hybridMultilevel"/>
    <w:tmpl w:val="1BB099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806EC5"/>
    <w:multiLevelType w:val="hybridMultilevel"/>
    <w:tmpl w:val="ACAE0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9E6EC3"/>
    <w:multiLevelType w:val="hybridMultilevel"/>
    <w:tmpl w:val="ED406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8B044C"/>
    <w:multiLevelType w:val="hybridMultilevel"/>
    <w:tmpl w:val="08645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5A852D3"/>
    <w:multiLevelType w:val="hybridMultilevel"/>
    <w:tmpl w:val="6C600D06"/>
    <w:lvl w:ilvl="0" w:tplc="08090001">
      <w:start w:val="1"/>
      <w:numFmt w:val="bullet"/>
      <w:lvlText w:val=""/>
      <w:lvlJc w:val="left"/>
      <w:pPr>
        <w:ind w:left="777" w:hanging="360"/>
      </w:pPr>
      <w:rPr>
        <w:rFonts w:ascii="Symbol" w:hAnsi="Symbol" w:hint="default"/>
      </w:rPr>
    </w:lvl>
    <w:lvl w:ilvl="1" w:tplc="08090003" w:tentative="1">
      <w:start w:val="1"/>
      <w:numFmt w:val="bullet"/>
      <w:lvlText w:val="o"/>
      <w:lvlJc w:val="left"/>
      <w:pPr>
        <w:ind w:left="1497" w:hanging="360"/>
      </w:pPr>
      <w:rPr>
        <w:rFonts w:ascii="Courier New" w:hAnsi="Courier New" w:cs="Courier New" w:hint="default"/>
      </w:rPr>
    </w:lvl>
    <w:lvl w:ilvl="2" w:tplc="08090005" w:tentative="1">
      <w:start w:val="1"/>
      <w:numFmt w:val="bullet"/>
      <w:lvlText w:val=""/>
      <w:lvlJc w:val="left"/>
      <w:pPr>
        <w:ind w:left="2217" w:hanging="360"/>
      </w:pPr>
      <w:rPr>
        <w:rFonts w:ascii="Wingdings" w:hAnsi="Wingdings" w:hint="default"/>
      </w:rPr>
    </w:lvl>
    <w:lvl w:ilvl="3" w:tplc="08090001" w:tentative="1">
      <w:start w:val="1"/>
      <w:numFmt w:val="bullet"/>
      <w:lvlText w:val=""/>
      <w:lvlJc w:val="left"/>
      <w:pPr>
        <w:ind w:left="2937" w:hanging="360"/>
      </w:pPr>
      <w:rPr>
        <w:rFonts w:ascii="Symbol" w:hAnsi="Symbol" w:hint="default"/>
      </w:rPr>
    </w:lvl>
    <w:lvl w:ilvl="4" w:tplc="08090003" w:tentative="1">
      <w:start w:val="1"/>
      <w:numFmt w:val="bullet"/>
      <w:lvlText w:val="o"/>
      <w:lvlJc w:val="left"/>
      <w:pPr>
        <w:ind w:left="3657" w:hanging="360"/>
      </w:pPr>
      <w:rPr>
        <w:rFonts w:ascii="Courier New" w:hAnsi="Courier New" w:cs="Courier New" w:hint="default"/>
      </w:rPr>
    </w:lvl>
    <w:lvl w:ilvl="5" w:tplc="08090005" w:tentative="1">
      <w:start w:val="1"/>
      <w:numFmt w:val="bullet"/>
      <w:lvlText w:val=""/>
      <w:lvlJc w:val="left"/>
      <w:pPr>
        <w:ind w:left="4377" w:hanging="360"/>
      </w:pPr>
      <w:rPr>
        <w:rFonts w:ascii="Wingdings" w:hAnsi="Wingdings" w:hint="default"/>
      </w:rPr>
    </w:lvl>
    <w:lvl w:ilvl="6" w:tplc="08090001" w:tentative="1">
      <w:start w:val="1"/>
      <w:numFmt w:val="bullet"/>
      <w:lvlText w:val=""/>
      <w:lvlJc w:val="left"/>
      <w:pPr>
        <w:ind w:left="5097" w:hanging="360"/>
      </w:pPr>
      <w:rPr>
        <w:rFonts w:ascii="Symbol" w:hAnsi="Symbol" w:hint="default"/>
      </w:rPr>
    </w:lvl>
    <w:lvl w:ilvl="7" w:tplc="08090003" w:tentative="1">
      <w:start w:val="1"/>
      <w:numFmt w:val="bullet"/>
      <w:lvlText w:val="o"/>
      <w:lvlJc w:val="left"/>
      <w:pPr>
        <w:ind w:left="5817" w:hanging="360"/>
      </w:pPr>
      <w:rPr>
        <w:rFonts w:ascii="Courier New" w:hAnsi="Courier New" w:cs="Courier New" w:hint="default"/>
      </w:rPr>
    </w:lvl>
    <w:lvl w:ilvl="8" w:tplc="08090005" w:tentative="1">
      <w:start w:val="1"/>
      <w:numFmt w:val="bullet"/>
      <w:lvlText w:val=""/>
      <w:lvlJc w:val="left"/>
      <w:pPr>
        <w:ind w:left="6537" w:hanging="360"/>
      </w:pPr>
      <w:rPr>
        <w:rFonts w:ascii="Wingdings" w:hAnsi="Wingdings" w:hint="default"/>
      </w:rPr>
    </w:lvl>
  </w:abstractNum>
  <w:abstractNum w:abstractNumId="20" w15:restartNumberingAfterBreak="0">
    <w:nsid w:val="5C753821"/>
    <w:multiLevelType w:val="hybridMultilevel"/>
    <w:tmpl w:val="2B386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8110EC"/>
    <w:multiLevelType w:val="hybridMultilevel"/>
    <w:tmpl w:val="A330FC92"/>
    <w:lvl w:ilvl="0" w:tplc="0B66C61A">
      <w:start w:val="1"/>
      <w:numFmt w:val="decimal"/>
      <w:pStyle w:val="ListNumber"/>
      <w:lvlText w:val="%1."/>
      <w:lvlJc w:val="left"/>
      <w:pPr>
        <w:tabs>
          <w:tab w:val="num" w:pos="389"/>
        </w:tabs>
        <w:ind w:left="389" w:hanging="389"/>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44963E4"/>
    <w:multiLevelType w:val="hybridMultilevel"/>
    <w:tmpl w:val="0B725B38"/>
    <w:lvl w:ilvl="0" w:tplc="FB8A73CC">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A491BE4"/>
    <w:multiLevelType w:val="hybridMultilevel"/>
    <w:tmpl w:val="4F284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67619511">
    <w:abstractNumId w:val="10"/>
  </w:num>
  <w:num w:numId="2" w16cid:durableId="237904888">
    <w:abstractNumId w:val="10"/>
    <w:lvlOverride w:ilvl="0">
      <w:startOverride w:val="1"/>
    </w:lvlOverride>
  </w:num>
  <w:num w:numId="3" w16cid:durableId="918367977">
    <w:abstractNumId w:val="14"/>
  </w:num>
  <w:num w:numId="4" w16cid:durableId="396780014">
    <w:abstractNumId w:val="9"/>
  </w:num>
  <w:num w:numId="5" w16cid:durableId="143551010">
    <w:abstractNumId w:val="22"/>
  </w:num>
  <w:num w:numId="6" w16cid:durableId="1275165490">
    <w:abstractNumId w:val="21"/>
  </w:num>
  <w:num w:numId="7" w16cid:durableId="666907851">
    <w:abstractNumId w:val="11"/>
  </w:num>
  <w:num w:numId="8" w16cid:durableId="122575708">
    <w:abstractNumId w:val="0"/>
  </w:num>
  <w:num w:numId="9" w16cid:durableId="110174384">
    <w:abstractNumId w:val="23"/>
  </w:num>
  <w:num w:numId="10" w16cid:durableId="1089691004">
    <w:abstractNumId w:val="17"/>
  </w:num>
  <w:num w:numId="11" w16cid:durableId="1609316763">
    <w:abstractNumId w:val="12"/>
  </w:num>
  <w:num w:numId="12" w16cid:durableId="1838111203">
    <w:abstractNumId w:val="16"/>
  </w:num>
  <w:num w:numId="13" w16cid:durableId="910307382">
    <w:abstractNumId w:val="1"/>
  </w:num>
  <w:num w:numId="14" w16cid:durableId="2089879520">
    <w:abstractNumId w:val="2"/>
  </w:num>
  <w:num w:numId="15" w16cid:durableId="882250620">
    <w:abstractNumId w:val="3"/>
  </w:num>
  <w:num w:numId="16" w16cid:durableId="409547921">
    <w:abstractNumId w:val="4"/>
  </w:num>
  <w:num w:numId="17" w16cid:durableId="1446195113">
    <w:abstractNumId w:val="5"/>
  </w:num>
  <w:num w:numId="18" w16cid:durableId="405956819">
    <w:abstractNumId w:val="6"/>
  </w:num>
  <w:num w:numId="19" w16cid:durableId="197209628">
    <w:abstractNumId w:val="7"/>
  </w:num>
  <w:num w:numId="20" w16cid:durableId="323705391">
    <w:abstractNumId w:val="8"/>
  </w:num>
  <w:num w:numId="21" w16cid:durableId="638222333">
    <w:abstractNumId w:val="18"/>
  </w:num>
  <w:num w:numId="22" w16cid:durableId="1640458000">
    <w:abstractNumId w:val="15"/>
  </w:num>
  <w:num w:numId="23" w16cid:durableId="1713189845">
    <w:abstractNumId w:val="13"/>
  </w:num>
  <w:num w:numId="24" w16cid:durableId="1650818002">
    <w:abstractNumId w:val="11"/>
    <w:lvlOverride w:ilvl="0">
      <w:startOverride w:val="1"/>
    </w:lvlOverride>
  </w:num>
  <w:num w:numId="25" w16cid:durableId="972321968">
    <w:abstractNumId w:val="19"/>
  </w:num>
  <w:num w:numId="26" w16cid:durableId="131996507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5"/>
  <w:drawingGridVerticalSpacing w:val="381"/>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6975"/>
    <w:rsid w:val="00021749"/>
    <w:rsid w:val="00073006"/>
    <w:rsid w:val="000E3CDA"/>
    <w:rsid w:val="001005AC"/>
    <w:rsid w:val="00184377"/>
    <w:rsid w:val="00191D38"/>
    <w:rsid w:val="00193A33"/>
    <w:rsid w:val="001A15A6"/>
    <w:rsid w:val="001C6A4E"/>
    <w:rsid w:val="001D6975"/>
    <w:rsid w:val="002000F3"/>
    <w:rsid w:val="002024E9"/>
    <w:rsid w:val="00227680"/>
    <w:rsid w:val="0026056C"/>
    <w:rsid w:val="002A52CC"/>
    <w:rsid w:val="003405D6"/>
    <w:rsid w:val="0034178C"/>
    <w:rsid w:val="00342B93"/>
    <w:rsid w:val="003436D4"/>
    <w:rsid w:val="0034667F"/>
    <w:rsid w:val="00361A8B"/>
    <w:rsid w:val="00384FFB"/>
    <w:rsid w:val="0039135E"/>
    <w:rsid w:val="003C7510"/>
    <w:rsid w:val="003D1852"/>
    <w:rsid w:val="003D4921"/>
    <w:rsid w:val="003E002F"/>
    <w:rsid w:val="00407221"/>
    <w:rsid w:val="0045688E"/>
    <w:rsid w:val="00474C44"/>
    <w:rsid w:val="004945A5"/>
    <w:rsid w:val="004C21F2"/>
    <w:rsid w:val="004C3BD4"/>
    <w:rsid w:val="004C459E"/>
    <w:rsid w:val="0052135E"/>
    <w:rsid w:val="00524387"/>
    <w:rsid w:val="00547C29"/>
    <w:rsid w:val="005825BF"/>
    <w:rsid w:val="005942F0"/>
    <w:rsid w:val="005D088E"/>
    <w:rsid w:val="005E7230"/>
    <w:rsid w:val="00624D6C"/>
    <w:rsid w:val="00664CFE"/>
    <w:rsid w:val="00696227"/>
    <w:rsid w:val="006B100E"/>
    <w:rsid w:val="007474BE"/>
    <w:rsid w:val="007546F6"/>
    <w:rsid w:val="00783C3B"/>
    <w:rsid w:val="007944D1"/>
    <w:rsid w:val="0079709B"/>
    <w:rsid w:val="007C41DD"/>
    <w:rsid w:val="007C636C"/>
    <w:rsid w:val="00801B37"/>
    <w:rsid w:val="00814FBA"/>
    <w:rsid w:val="00821162"/>
    <w:rsid w:val="008237D7"/>
    <w:rsid w:val="008424BB"/>
    <w:rsid w:val="00846935"/>
    <w:rsid w:val="00853DCA"/>
    <w:rsid w:val="008541FE"/>
    <w:rsid w:val="008806C1"/>
    <w:rsid w:val="00883281"/>
    <w:rsid w:val="009533C5"/>
    <w:rsid w:val="009A0EA2"/>
    <w:rsid w:val="009A4C49"/>
    <w:rsid w:val="009A4F87"/>
    <w:rsid w:val="009E458A"/>
    <w:rsid w:val="009F267F"/>
    <w:rsid w:val="00A1150B"/>
    <w:rsid w:val="00A257B4"/>
    <w:rsid w:val="00A47FF7"/>
    <w:rsid w:val="00A73735"/>
    <w:rsid w:val="00AA40A4"/>
    <w:rsid w:val="00AA5330"/>
    <w:rsid w:val="00AE13C9"/>
    <w:rsid w:val="00AE7E5F"/>
    <w:rsid w:val="00AF5DAF"/>
    <w:rsid w:val="00B032D8"/>
    <w:rsid w:val="00B30147"/>
    <w:rsid w:val="00B74DDE"/>
    <w:rsid w:val="00B8191D"/>
    <w:rsid w:val="00B83CC0"/>
    <w:rsid w:val="00B92AA1"/>
    <w:rsid w:val="00BB2133"/>
    <w:rsid w:val="00BE3B1A"/>
    <w:rsid w:val="00C0507F"/>
    <w:rsid w:val="00C5449D"/>
    <w:rsid w:val="00C646B3"/>
    <w:rsid w:val="00C74FB5"/>
    <w:rsid w:val="00C876E4"/>
    <w:rsid w:val="00C9039C"/>
    <w:rsid w:val="00CB7D2E"/>
    <w:rsid w:val="00D1666D"/>
    <w:rsid w:val="00D54F57"/>
    <w:rsid w:val="00D80EC9"/>
    <w:rsid w:val="00D875E8"/>
    <w:rsid w:val="00DA03EC"/>
    <w:rsid w:val="00DA797D"/>
    <w:rsid w:val="00DB44AB"/>
    <w:rsid w:val="00DB4B3B"/>
    <w:rsid w:val="00E00116"/>
    <w:rsid w:val="00E15709"/>
    <w:rsid w:val="00E63162"/>
    <w:rsid w:val="00E64FFC"/>
    <w:rsid w:val="00EA185F"/>
    <w:rsid w:val="00EB338A"/>
    <w:rsid w:val="00EC4600"/>
    <w:rsid w:val="00F0007A"/>
    <w:rsid w:val="00F0440E"/>
    <w:rsid w:val="00F04AB9"/>
    <w:rsid w:val="00FA6D3C"/>
    <w:rsid w:val="00FA7D57"/>
    <w:rsid w:val="00FB4905"/>
    <w:rsid w:val="00FF4C74"/>
    <w:rsid w:val="00FF7C85"/>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398F3A6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color w:val="2A2A2A" w:themeColor="text2"/>
        <w:sz w:val="22"/>
        <w:szCs w:val="22"/>
        <w:lang w:val="en-US" w:eastAsia="ja-JP" w:bidi="ar-SA"/>
      </w:rPr>
    </w:rPrDefault>
    <w:pPrDefault>
      <w:pPr>
        <w:spacing w:after="200" w:line="31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0" w:qFormat="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4B3B"/>
    <w:pPr>
      <w:spacing w:after="240" w:line="240" w:lineRule="auto"/>
    </w:pPr>
    <w:rPr>
      <w:rFonts w:ascii="Arial" w:hAnsi="Arial"/>
      <w:sz w:val="23"/>
    </w:rPr>
  </w:style>
  <w:style w:type="paragraph" w:styleId="Heading1">
    <w:name w:val="heading 1"/>
    <w:basedOn w:val="Normal"/>
    <w:next w:val="Normal"/>
    <w:link w:val="Heading1Char"/>
    <w:uiPriority w:val="9"/>
    <w:qFormat/>
    <w:rsid w:val="001C6A4E"/>
    <w:pPr>
      <w:pageBreakBefore/>
      <w:spacing w:after="800"/>
      <w:contextualSpacing/>
      <w:outlineLvl w:val="0"/>
    </w:pPr>
    <w:rPr>
      <w:rFonts w:ascii="Helvetica 47 Light Condensed" w:eastAsiaTheme="majorEastAsia" w:hAnsi="Helvetica 47 Light Condensed" w:cstheme="majorBidi"/>
      <w:color w:val="004D70"/>
      <w:sz w:val="84"/>
      <w:szCs w:val="32"/>
    </w:rPr>
  </w:style>
  <w:style w:type="paragraph" w:styleId="Heading2">
    <w:name w:val="heading 2"/>
    <w:basedOn w:val="Normal"/>
    <w:next w:val="Normal"/>
    <w:link w:val="Heading2Char"/>
    <w:uiPriority w:val="9"/>
    <w:unhideWhenUsed/>
    <w:qFormat/>
    <w:rsid w:val="00DB4B3B"/>
    <w:pPr>
      <w:keepNext/>
      <w:keepLines/>
      <w:pBdr>
        <w:top w:val="single" w:sz="24" w:space="12" w:color="57C47D"/>
      </w:pBdr>
      <w:contextualSpacing/>
      <w:outlineLvl w:val="1"/>
    </w:pPr>
    <w:rPr>
      <w:rFonts w:eastAsiaTheme="majorEastAsia" w:cstheme="majorBidi"/>
      <w:color w:val="57C47D"/>
      <w:sz w:val="48"/>
      <w:szCs w:val="26"/>
    </w:rPr>
  </w:style>
  <w:style w:type="paragraph" w:styleId="Heading3">
    <w:name w:val="heading 3"/>
    <w:basedOn w:val="Normal"/>
    <w:next w:val="Normal"/>
    <w:link w:val="Heading3Char"/>
    <w:uiPriority w:val="9"/>
    <w:unhideWhenUsed/>
    <w:qFormat/>
    <w:rsid w:val="00DB4B3B"/>
    <w:pPr>
      <w:keepNext/>
      <w:keepLines/>
      <w:pBdr>
        <w:top w:val="dotted" w:sz="2" w:space="12" w:color="11182F"/>
      </w:pBdr>
      <w:spacing w:before="360"/>
      <w:contextualSpacing/>
      <w:outlineLvl w:val="2"/>
    </w:pPr>
    <w:rPr>
      <w:rFonts w:eastAsiaTheme="majorEastAsia" w:cstheme="majorBidi"/>
      <w:color w:val="11182F"/>
      <w:sz w:val="32"/>
      <w:szCs w:val="24"/>
    </w:rPr>
  </w:style>
  <w:style w:type="paragraph" w:styleId="Heading4">
    <w:name w:val="heading 4"/>
    <w:basedOn w:val="Normal"/>
    <w:next w:val="Normal"/>
    <w:link w:val="Heading4Char"/>
    <w:uiPriority w:val="9"/>
    <w:semiHidden/>
    <w:unhideWhenUsed/>
    <w:qFormat/>
    <w:pPr>
      <w:keepNext/>
      <w:keepLines/>
      <w:spacing w:after="320"/>
      <w:contextualSpacing/>
      <w:outlineLvl w:val="3"/>
    </w:pPr>
    <w:rPr>
      <w:rFonts w:asciiTheme="majorHAnsi" w:eastAsiaTheme="majorEastAsia" w:hAnsiTheme="majorHAnsi" w:cstheme="majorBidi"/>
      <w:b/>
      <w:i/>
      <w:iCs/>
      <w:sz w:val="36"/>
    </w:rPr>
  </w:style>
  <w:style w:type="paragraph" w:styleId="Heading5">
    <w:name w:val="heading 5"/>
    <w:basedOn w:val="Normal"/>
    <w:next w:val="Normal"/>
    <w:link w:val="Heading5Char"/>
    <w:uiPriority w:val="9"/>
    <w:semiHidden/>
    <w:unhideWhenUsed/>
    <w:qFormat/>
    <w:pPr>
      <w:keepNext/>
      <w:keepLines/>
      <w:spacing w:after="320"/>
      <w:contextualSpacing/>
      <w:outlineLvl w:val="4"/>
    </w:pPr>
    <w:rPr>
      <w:rFonts w:asciiTheme="majorHAnsi" w:eastAsiaTheme="majorEastAsia" w:hAnsiTheme="majorHAnsi" w:cstheme="majorBidi"/>
      <w:b/>
      <w:color w:val="949494" w:themeColor="text2" w:themeTint="80"/>
      <w:sz w:val="36"/>
    </w:rPr>
  </w:style>
  <w:style w:type="paragraph" w:styleId="Heading6">
    <w:name w:val="heading 6"/>
    <w:basedOn w:val="Normal"/>
    <w:next w:val="Normal"/>
    <w:link w:val="Heading6Char"/>
    <w:uiPriority w:val="9"/>
    <w:semiHidden/>
    <w:unhideWhenUsed/>
    <w:qFormat/>
    <w:pPr>
      <w:keepNext/>
      <w:keepLines/>
      <w:pBdr>
        <w:top w:val="single" w:sz="12" w:space="12" w:color="2A2A2A" w:themeColor="text2"/>
      </w:pBdr>
      <w:spacing w:after="320"/>
      <w:contextualSpacing/>
      <w:outlineLvl w:val="5"/>
    </w:pPr>
    <w:rPr>
      <w:rFonts w:asciiTheme="majorHAnsi" w:eastAsiaTheme="majorEastAsia" w:hAnsiTheme="majorHAnsi" w:cstheme="majorBidi"/>
      <w:b/>
      <w:color w:val="E09B3B" w:themeColor="accent1"/>
      <w:sz w:val="36"/>
    </w:rPr>
  </w:style>
  <w:style w:type="paragraph" w:styleId="Heading7">
    <w:name w:val="heading 7"/>
    <w:basedOn w:val="Normal"/>
    <w:next w:val="Normal"/>
    <w:link w:val="Heading7Char"/>
    <w:uiPriority w:val="9"/>
    <w:semiHidden/>
    <w:unhideWhenUsed/>
    <w:qFormat/>
    <w:pPr>
      <w:keepNext/>
      <w:keepLines/>
      <w:contextualSpacing/>
      <w:outlineLvl w:val="6"/>
    </w:pPr>
    <w:rPr>
      <w:rFonts w:asciiTheme="majorHAnsi" w:eastAsiaTheme="majorEastAsia" w:hAnsiTheme="majorHAnsi" w:cstheme="majorBidi"/>
      <w:b/>
      <w:iCs/>
      <w:sz w:val="32"/>
    </w:rPr>
  </w:style>
  <w:style w:type="paragraph" w:styleId="Heading8">
    <w:name w:val="heading 8"/>
    <w:basedOn w:val="Normal"/>
    <w:next w:val="Normal"/>
    <w:link w:val="Heading8Char"/>
    <w:uiPriority w:val="9"/>
    <w:semiHidden/>
    <w:unhideWhenUsed/>
    <w:qFormat/>
    <w:pPr>
      <w:keepNext/>
      <w:keepLines/>
      <w:contextualSpacing/>
      <w:outlineLvl w:val="7"/>
    </w:pPr>
    <w:rPr>
      <w:rFonts w:asciiTheme="majorHAnsi" w:eastAsiaTheme="majorEastAsia" w:hAnsiTheme="majorHAnsi" w:cstheme="majorBidi"/>
      <w:b/>
      <w:i/>
      <w:sz w:val="32"/>
      <w:szCs w:val="21"/>
    </w:rPr>
  </w:style>
  <w:style w:type="paragraph" w:styleId="Heading9">
    <w:name w:val="heading 9"/>
    <w:basedOn w:val="Normal"/>
    <w:next w:val="Normal"/>
    <w:link w:val="Heading9Char"/>
    <w:uiPriority w:val="9"/>
    <w:semiHidden/>
    <w:unhideWhenUsed/>
    <w:qFormat/>
    <w:pPr>
      <w:keepNext/>
      <w:keepLines/>
      <w:contextualSpacing/>
      <w:outlineLvl w:val="8"/>
    </w:pPr>
    <w:rPr>
      <w:rFonts w:asciiTheme="majorHAnsi" w:eastAsiaTheme="majorEastAsia" w:hAnsiTheme="majorHAnsi" w:cstheme="majorBidi"/>
      <w:b/>
      <w:iCs/>
      <w:color w:val="949494" w:themeColor="text2" w:themeTint="80"/>
      <w:sz w:val="32"/>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rsid w:val="00DB44AB"/>
    <w:pPr>
      <w:spacing w:after="0"/>
    </w:pPr>
    <w:rPr>
      <w:b/>
      <w:bCs/>
      <w:color w:val="595959" w:themeColor="text1" w:themeTint="A6"/>
      <w:sz w:val="36"/>
    </w:rPr>
  </w:style>
  <w:style w:type="character" w:customStyle="1" w:styleId="FooterChar">
    <w:name w:val="Footer Char"/>
    <w:basedOn w:val="DefaultParagraphFont"/>
    <w:link w:val="Footer"/>
    <w:uiPriority w:val="99"/>
    <w:rsid w:val="00DB44AB"/>
    <w:rPr>
      <w:rFonts w:ascii="Helvetica" w:hAnsi="Helvetica"/>
      <w:b/>
      <w:bCs/>
      <w:color w:val="595959" w:themeColor="text1" w:themeTint="A6"/>
      <w:sz w:val="36"/>
    </w:rPr>
  </w:style>
  <w:style w:type="character" w:customStyle="1" w:styleId="Heading1Char">
    <w:name w:val="Heading 1 Char"/>
    <w:basedOn w:val="DefaultParagraphFont"/>
    <w:link w:val="Heading1"/>
    <w:uiPriority w:val="9"/>
    <w:rsid w:val="001C6A4E"/>
    <w:rPr>
      <w:rFonts w:ascii="Helvetica 47 Light Condensed" w:eastAsiaTheme="majorEastAsia" w:hAnsi="Helvetica 47 Light Condensed" w:cstheme="majorBidi"/>
      <w:color w:val="004D70"/>
      <w:sz w:val="84"/>
      <w:szCs w:val="32"/>
    </w:rPr>
  </w:style>
  <w:style w:type="character" w:customStyle="1" w:styleId="Heading2Char">
    <w:name w:val="Heading 2 Char"/>
    <w:basedOn w:val="DefaultParagraphFont"/>
    <w:link w:val="Heading2"/>
    <w:uiPriority w:val="9"/>
    <w:rsid w:val="00DB4B3B"/>
    <w:rPr>
      <w:rFonts w:ascii="Arial" w:eastAsiaTheme="majorEastAsia" w:hAnsi="Arial" w:cstheme="majorBidi"/>
      <w:color w:val="57C47D"/>
      <w:sz w:val="48"/>
      <w:szCs w:val="26"/>
    </w:rPr>
  </w:style>
  <w:style w:type="paragraph" w:styleId="ListBullet">
    <w:name w:val="List Bullet"/>
    <w:basedOn w:val="Normal"/>
    <w:uiPriority w:val="10"/>
    <w:qFormat/>
    <w:rsid w:val="00883281"/>
    <w:pPr>
      <w:numPr>
        <w:numId w:val="7"/>
      </w:numPr>
      <w:spacing w:after="0"/>
    </w:p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nseQuote">
    <w:name w:val="Intense Quote"/>
    <w:basedOn w:val="Normal"/>
    <w:next w:val="Normal"/>
    <w:link w:val="IntenseQuoteChar"/>
    <w:uiPriority w:val="30"/>
    <w:unhideWhenUsed/>
    <w:qFormat/>
    <w:pPr>
      <w:spacing w:before="400" w:after="520"/>
      <w:contextualSpacing/>
    </w:pPr>
    <w:rPr>
      <w:b/>
      <w:iCs/>
      <w:sz w:val="56"/>
    </w:rPr>
  </w:style>
  <w:style w:type="character" w:customStyle="1" w:styleId="IntenseQuoteChar">
    <w:name w:val="Intense Quote Char"/>
    <w:basedOn w:val="DefaultParagraphFont"/>
    <w:link w:val="IntenseQuote"/>
    <w:uiPriority w:val="30"/>
    <w:rPr>
      <w:b/>
      <w:iCs/>
      <w:sz w:val="56"/>
    </w:rPr>
  </w:style>
  <w:style w:type="table" w:customStyle="1" w:styleId="ModernPaper">
    <w:name w:val="Modern Paper"/>
    <w:basedOn w:val="TableNormal"/>
    <w:uiPriority w:val="99"/>
    <w:pPr>
      <w:spacing w:before="200" w:line="240" w:lineRule="auto"/>
    </w:pPr>
    <w:tblPr>
      <w:tblBorders>
        <w:insideH w:val="single" w:sz="8" w:space="0" w:color="2A2A2A" w:themeColor="text2"/>
      </w:tblBorders>
      <w:tblCellMar>
        <w:left w:w="144" w:type="dxa"/>
        <w:right w:w="144" w:type="dxa"/>
      </w:tblCellMar>
    </w:tblPr>
    <w:tcPr>
      <w:vAlign w:val="center"/>
    </w:tcPr>
    <w:tblStylePr w:type="firstRow">
      <w:pPr>
        <w:wordWrap/>
        <w:spacing w:beforeLines="0" w:before="480" w:beforeAutospacing="0" w:afterLines="0" w:after="360" w:afterAutospacing="0" w:line="216" w:lineRule="auto"/>
        <w:contextualSpacing w:val="0"/>
      </w:pPr>
      <w:rPr>
        <w:rFonts w:asciiTheme="majorHAnsi" w:hAnsiTheme="majorHAnsi"/>
        <w:b/>
        <w:i w:val="0"/>
        <w:color w:val="E09B3B" w:themeColor="accent1"/>
        <w:sz w:val="28"/>
      </w:rPr>
      <w:tblPr/>
      <w:trPr>
        <w:tblHeader/>
      </w:trPr>
      <w:tcPr>
        <w:tcBorders>
          <w:top w:val="nil"/>
          <w:left w:val="nil"/>
          <w:bottom w:val="single" w:sz="24" w:space="0" w:color="2A2A2A" w:themeColor="text2"/>
          <w:right w:val="nil"/>
          <w:insideH w:val="nil"/>
          <w:insideV w:val="nil"/>
          <w:tl2br w:val="nil"/>
          <w:tr2bl w:val="nil"/>
        </w:tcBorders>
      </w:tcPr>
    </w:tblStylePr>
    <w:tblStylePr w:type="firstCol">
      <w:pPr>
        <w:wordWrap/>
        <w:jc w:val="right"/>
      </w:pPr>
      <w:rPr>
        <w:b/>
      </w:rPr>
      <w:tblPr/>
      <w:tcPr>
        <w:tcMar>
          <w:top w:w="0" w:type="nil"/>
          <w:left w:w="0" w:type="nil"/>
          <w:bottom w:w="0" w:type="nil"/>
          <w:right w:w="432" w:type="dxa"/>
        </w:tcMar>
      </w:tcPr>
    </w:tblStylePr>
    <w:tblStylePr w:type="nwCell">
      <w:pPr>
        <w:wordWrap/>
        <w:jc w:val="left"/>
      </w:pPr>
    </w:tblStylePr>
  </w:style>
  <w:style w:type="character" w:customStyle="1" w:styleId="Heading3Char">
    <w:name w:val="Heading 3 Char"/>
    <w:basedOn w:val="DefaultParagraphFont"/>
    <w:link w:val="Heading3"/>
    <w:uiPriority w:val="9"/>
    <w:rsid w:val="00DB4B3B"/>
    <w:rPr>
      <w:rFonts w:ascii="Arial" w:eastAsiaTheme="majorEastAsia" w:hAnsi="Arial" w:cstheme="majorBidi"/>
      <w:color w:val="11182F"/>
      <w:sz w:val="32"/>
      <w:szCs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
      <w:i/>
      <w:iCs/>
      <w:sz w:val="36"/>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b/>
      <w:color w:val="949494" w:themeColor="text2" w:themeTint="80"/>
      <w:sz w:val="36"/>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b/>
      <w:color w:val="E09B3B" w:themeColor="accent1"/>
      <w:sz w:val="36"/>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b/>
      <w:iCs/>
      <w:sz w:val="32"/>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b/>
      <w:i/>
      <w:sz w:val="32"/>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b/>
      <w:iCs/>
      <w:color w:val="949494" w:themeColor="text2" w:themeTint="80"/>
      <w:sz w:val="32"/>
      <w:szCs w:val="21"/>
    </w:rPr>
  </w:style>
  <w:style w:type="character" w:styleId="Emphasis">
    <w:name w:val="Emphasis"/>
    <w:basedOn w:val="DefaultParagraphFont"/>
    <w:uiPriority w:val="20"/>
    <w:semiHidden/>
    <w:unhideWhenUsed/>
    <w:qFormat/>
    <w:rPr>
      <w:i w:val="0"/>
      <w:iCs/>
      <w:color w:val="E09B3B" w:themeColor="accent1"/>
    </w:rPr>
  </w:style>
  <w:style w:type="character" w:styleId="IntenseEmphasis">
    <w:name w:val="Intense Emphasis"/>
    <w:basedOn w:val="DefaultParagraphFont"/>
    <w:uiPriority w:val="21"/>
    <w:semiHidden/>
    <w:unhideWhenUsed/>
    <w:qFormat/>
    <w:rPr>
      <w:b/>
      <w:i/>
      <w:iCs/>
      <w:color w:val="E09B3B" w:themeColor="accent1"/>
    </w:rPr>
  </w:style>
  <w:style w:type="character" w:styleId="Strong">
    <w:name w:val="Strong"/>
    <w:basedOn w:val="DefaultParagraphFont"/>
    <w:uiPriority w:val="22"/>
    <w:semiHidden/>
    <w:unhideWhenUsed/>
    <w:qFormat/>
    <w:rPr>
      <w:b/>
      <w:bCs/>
    </w:rPr>
  </w:style>
  <w:style w:type="character" w:styleId="SubtleReference">
    <w:name w:val="Subtle Reference"/>
    <w:basedOn w:val="DefaultParagraphFont"/>
    <w:uiPriority w:val="31"/>
    <w:semiHidden/>
    <w:unhideWhenUsed/>
    <w:qFormat/>
    <w:rPr>
      <w:caps/>
      <w:smallCaps w:val="0"/>
      <w:color w:val="2A2A2A" w:themeColor="text2"/>
    </w:rPr>
  </w:style>
  <w:style w:type="character" w:styleId="IntenseReference">
    <w:name w:val="Intense Reference"/>
    <w:basedOn w:val="DefaultParagraphFont"/>
    <w:uiPriority w:val="32"/>
    <w:semiHidden/>
    <w:unhideWhenUsed/>
    <w:qFormat/>
    <w:rPr>
      <w:b/>
      <w:bCs/>
      <w:caps/>
      <w:smallCaps w:val="0"/>
      <w:color w:val="2A2A2A" w:themeColor="text2"/>
      <w:spacing w:val="0"/>
    </w:rPr>
  </w:style>
  <w:style w:type="character" w:styleId="BookTitle">
    <w:name w:val="Book Title"/>
    <w:basedOn w:val="DefaultParagraphFont"/>
    <w:uiPriority w:val="33"/>
    <w:semiHidden/>
    <w:unhideWhenUsed/>
    <w:qFormat/>
    <w:rPr>
      <w:b w:val="0"/>
      <w:bCs/>
      <w:i w:val="0"/>
      <w:iCs/>
      <w:spacing w:val="0"/>
      <w:u w:val="single"/>
    </w:rPr>
  </w:style>
  <w:style w:type="paragraph" w:styleId="Caption">
    <w:name w:val="caption"/>
    <w:basedOn w:val="Normal"/>
    <w:next w:val="Normal"/>
    <w:uiPriority w:val="35"/>
    <w:semiHidden/>
    <w:unhideWhenUsed/>
    <w:qFormat/>
    <w:pPr>
      <w:contextualSpacing/>
    </w:pPr>
    <w:rPr>
      <w:i/>
      <w:iCs/>
      <w:szCs w:val="18"/>
    </w:rPr>
  </w:style>
  <w:style w:type="paragraph" w:styleId="TOCHeading">
    <w:name w:val="TOC Heading"/>
    <w:basedOn w:val="Heading1"/>
    <w:next w:val="Normal"/>
    <w:uiPriority w:val="39"/>
    <w:semiHidden/>
    <w:unhideWhenUsed/>
    <w:qFormat/>
    <w:pPr>
      <w:keepNext/>
      <w:keepLines/>
      <w:pageBreakBefore w:val="0"/>
      <w:outlineLvl w:val="9"/>
    </w:pPr>
  </w:style>
  <w:style w:type="paragraph" w:styleId="Title">
    <w:name w:val="Title"/>
    <w:basedOn w:val="Normal"/>
    <w:next w:val="Normal"/>
    <w:link w:val="TitleChar"/>
    <w:uiPriority w:val="10"/>
    <w:semiHidden/>
    <w:unhideWhenUsed/>
    <w:qFormat/>
    <w:pPr>
      <w:spacing w:after="480"/>
      <w:contextualSpacing/>
    </w:pPr>
    <w:rPr>
      <w:rFonts w:asciiTheme="majorHAnsi" w:eastAsiaTheme="majorEastAsia" w:hAnsiTheme="majorHAnsi" w:cstheme="majorBidi"/>
      <w:b/>
      <w:kern w:val="28"/>
      <w:sz w:val="140"/>
      <w:szCs w:val="56"/>
    </w:rPr>
  </w:style>
  <w:style w:type="character" w:customStyle="1" w:styleId="TitleChar">
    <w:name w:val="Title Char"/>
    <w:basedOn w:val="DefaultParagraphFont"/>
    <w:link w:val="Title"/>
    <w:uiPriority w:val="10"/>
    <w:semiHidden/>
    <w:rPr>
      <w:rFonts w:asciiTheme="majorHAnsi" w:eastAsiaTheme="majorEastAsia" w:hAnsiTheme="majorHAnsi" w:cstheme="majorBidi"/>
      <w:b/>
      <w:kern w:val="28"/>
      <w:sz w:val="140"/>
      <w:szCs w:val="56"/>
    </w:rPr>
  </w:style>
  <w:style w:type="paragraph" w:styleId="Subtitle">
    <w:name w:val="Subtitle"/>
    <w:basedOn w:val="Normal"/>
    <w:next w:val="Normal"/>
    <w:link w:val="SubtitleChar"/>
    <w:uiPriority w:val="11"/>
    <w:semiHidden/>
    <w:unhideWhenUsed/>
    <w:qFormat/>
    <w:pPr>
      <w:numPr>
        <w:ilvl w:val="1"/>
      </w:numPr>
      <w:spacing w:after="1200"/>
      <w:contextualSpacing/>
    </w:pPr>
    <w:rPr>
      <w:rFonts w:eastAsiaTheme="minorEastAsia"/>
      <w:b/>
      <w:color w:val="E09B3B" w:themeColor="accent1"/>
      <w:sz w:val="56"/>
    </w:rPr>
  </w:style>
  <w:style w:type="character" w:customStyle="1" w:styleId="SubtitleChar">
    <w:name w:val="Subtitle Char"/>
    <w:basedOn w:val="DefaultParagraphFont"/>
    <w:link w:val="Subtitle"/>
    <w:uiPriority w:val="11"/>
    <w:semiHidden/>
    <w:rPr>
      <w:rFonts w:eastAsiaTheme="minorEastAsia"/>
      <w:b/>
      <w:color w:val="E09B3B" w:themeColor="accent1"/>
      <w:sz w:val="56"/>
      <w:szCs w:val="22"/>
    </w:rPr>
  </w:style>
  <w:style w:type="character" w:styleId="PlaceholderText">
    <w:name w:val="Placeholder Text"/>
    <w:basedOn w:val="DefaultParagraphFont"/>
    <w:uiPriority w:val="99"/>
    <w:semiHidden/>
    <w:rPr>
      <w:color w:val="808080"/>
    </w:rPr>
  </w:style>
  <w:style w:type="character" w:styleId="SubtleEmphasis">
    <w:name w:val="Subtle Emphasis"/>
    <w:basedOn w:val="DefaultParagraphFont"/>
    <w:uiPriority w:val="19"/>
    <w:semiHidden/>
    <w:unhideWhenUsed/>
    <w:qFormat/>
    <w:rPr>
      <w:i/>
      <w:iCs/>
      <w:color w:val="2A2A2A" w:themeColor="text2"/>
    </w:rPr>
  </w:style>
  <w:style w:type="paragraph" w:styleId="Quote">
    <w:name w:val="Quote"/>
    <w:basedOn w:val="Normal"/>
    <w:next w:val="Normal"/>
    <w:link w:val="QuoteChar"/>
    <w:uiPriority w:val="29"/>
    <w:unhideWhenUsed/>
    <w:qFormat/>
    <w:rsid w:val="001D6975"/>
    <w:pPr>
      <w:spacing w:before="360"/>
      <w:contextualSpacing/>
    </w:pPr>
    <w:rPr>
      <w:iCs/>
      <w:color w:val="229AAA"/>
      <w:sz w:val="60"/>
    </w:rPr>
  </w:style>
  <w:style w:type="character" w:customStyle="1" w:styleId="QuoteChar">
    <w:name w:val="Quote Char"/>
    <w:basedOn w:val="DefaultParagraphFont"/>
    <w:link w:val="Quote"/>
    <w:uiPriority w:val="29"/>
    <w:rsid w:val="001D6975"/>
    <w:rPr>
      <w:rFonts w:ascii="Arial" w:hAnsi="Arial"/>
      <w:iCs/>
      <w:color w:val="229AAA"/>
      <w:sz w:val="60"/>
    </w:rPr>
  </w:style>
  <w:style w:type="paragraph" w:styleId="Header">
    <w:name w:val="header"/>
    <w:basedOn w:val="Normal"/>
    <w:link w:val="HeaderChar"/>
    <w:uiPriority w:val="99"/>
    <w:unhideWhenUsed/>
    <w:qFormat/>
    <w:pPr>
      <w:spacing w:after="0"/>
    </w:pPr>
  </w:style>
  <w:style w:type="character" w:customStyle="1" w:styleId="HeaderChar">
    <w:name w:val="Header Char"/>
    <w:basedOn w:val="DefaultParagraphFont"/>
    <w:link w:val="Header"/>
    <w:uiPriority w:val="99"/>
  </w:style>
  <w:style w:type="paragraph" w:styleId="ListNumber">
    <w:name w:val="List Number"/>
    <w:basedOn w:val="Normal"/>
    <w:uiPriority w:val="11"/>
    <w:qFormat/>
    <w:pPr>
      <w:numPr>
        <w:numId w:val="6"/>
      </w:numPr>
      <w:spacing w:after="120"/>
    </w:pPr>
  </w:style>
  <w:style w:type="paragraph" w:styleId="BlockText">
    <w:name w:val="Block Text"/>
    <w:basedOn w:val="Normal"/>
    <w:uiPriority w:val="31"/>
    <w:unhideWhenUsed/>
    <w:pPr>
      <w:spacing w:before="360"/>
    </w:pPr>
    <w:rPr>
      <w:rFonts w:eastAsiaTheme="minorEastAsia"/>
      <w:iCs/>
      <w:color w:val="3E3E3E" w:themeColor="text2" w:themeTint="E6"/>
      <w:sz w:val="28"/>
    </w:rPr>
  </w:style>
  <w:style w:type="paragraph" w:customStyle="1" w:styleId="Tablecolumnheading">
    <w:name w:val="Table column heading"/>
    <w:basedOn w:val="Normal"/>
    <w:qFormat/>
    <w:rsid w:val="00B032D8"/>
    <w:pPr>
      <w:spacing w:before="480" w:line="216" w:lineRule="auto"/>
    </w:pPr>
    <w:rPr>
      <w:b/>
      <w:color w:val="A5C927"/>
      <w:sz w:val="28"/>
    </w:rPr>
  </w:style>
  <w:style w:type="character" w:styleId="Hyperlink">
    <w:name w:val="Hyperlink"/>
    <w:basedOn w:val="DefaultParagraphFont"/>
    <w:uiPriority w:val="99"/>
    <w:unhideWhenUsed/>
    <w:rsid w:val="00E15709"/>
    <w:rPr>
      <w:color w:val="4D8FE8"/>
      <w:u w:val="single"/>
    </w:rPr>
  </w:style>
  <w:style w:type="paragraph" w:styleId="ListParagraph">
    <w:name w:val="List Paragraph"/>
    <w:basedOn w:val="Normal"/>
    <w:uiPriority w:val="34"/>
    <w:unhideWhenUsed/>
    <w:qFormat/>
    <w:rsid w:val="004C459E"/>
    <w:pPr>
      <w:ind w:left="720"/>
      <w:contextualSpacing/>
    </w:pPr>
  </w:style>
  <w:style w:type="character" w:styleId="FollowedHyperlink">
    <w:name w:val="FollowedHyperlink"/>
    <w:basedOn w:val="DefaultParagraphFont"/>
    <w:uiPriority w:val="99"/>
    <w:semiHidden/>
    <w:unhideWhenUsed/>
    <w:rsid w:val="001C6A4E"/>
    <w:rPr>
      <w:color w:val="487B97" w:themeColor="followedHyperlink"/>
      <w:u w:val="single"/>
    </w:rPr>
  </w:style>
  <w:style w:type="character" w:styleId="UnresolvedMention">
    <w:name w:val="Unresolved Mention"/>
    <w:basedOn w:val="DefaultParagraphFont"/>
    <w:uiPriority w:val="99"/>
    <w:semiHidden/>
    <w:unhideWhenUsed/>
    <w:rsid w:val="00B83CC0"/>
    <w:rPr>
      <w:color w:val="808080"/>
      <w:shd w:val="clear" w:color="auto" w:fill="E6E6E6"/>
    </w:rPr>
  </w:style>
  <w:style w:type="paragraph" w:styleId="Revision">
    <w:name w:val="Revision"/>
    <w:hidden/>
    <w:uiPriority w:val="99"/>
    <w:semiHidden/>
    <w:rsid w:val="008424BB"/>
    <w:pPr>
      <w:spacing w:after="0" w:line="240" w:lineRule="auto"/>
    </w:pPr>
    <w:rPr>
      <w:rFonts w:ascii="Arial" w:hAnsi="Arial"/>
      <w:sz w:val="23"/>
    </w:rPr>
  </w:style>
  <w:style w:type="character" w:styleId="CommentReference">
    <w:name w:val="annotation reference"/>
    <w:basedOn w:val="DefaultParagraphFont"/>
    <w:uiPriority w:val="99"/>
    <w:semiHidden/>
    <w:unhideWhenUsed/>
    <w:rsid w:val="005E7230"/>
    <w:rPr>
      <w:sz w:val="16"/>
      <w:szCs w:val="16"/>
    </w:rPr>
  </w:style>
  <w:style w:type="paragraph" w:styleId="CommentText">
    <w:name w:val="annotation text"/>
    <w:basedOn w:val="Normal"/>
    <w:link w:val="CommentTextChar"/>
    <w:uiPriority w:val="99"/>
    <w:unhideWhenUsed/>
    <w:rsid w:val="005E7230"/>
    <w:rPr>
      <w:sz w:val="20"/>
      <w:szCs w:val="20"/>
    </w:rPr>
  </w:style>
  <w:style w:type="character" w:customStyle="1" w:styleId="CommentTextChar">
    <w:name w:val="Comment Text Char"/>
    <w:basedOn w:val="DefaultParagraphFont"/>
    <w:link w:val="CommentText"/>
    <w:uiPriority w:val="99"/>
    <w:rsid w:val="005E7230"/>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5E7230"/>
    <w:rPr>
      <w:b/>
      <w:bCs/>
    </w:rPr>
  </w:style>
  <w:style w:type="character" w:customStyle="1" w:styleId="CommentSubjectChar">
    <w:name w:val="Comment Subject Char"/>
    <w:basedOn w:val="CommentTextChar"/>
    <w:link w:val="CommentSubject"/>
    <w:uiPriority w:val="99"/>
    <w:semiHidden/>
    <w:rsid w:val="005E7230"/>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739440">
      <w:bodyDiv w:val="1"/>
      <w:marLeft w:val="0"/>
      <w:marRight w:val="0"/>
      <w:marTop w:val="0"/>
      <w:marBottom w:val="0"/>
      <w:divBdr>
        <w:top w:val="none" w:sz="0" w:space="0" w:color="auto"/>
        <w:left w:val="none" w:sz="0" w:space="0" w:color="auto"/>
        <w:bottom w:val="none" w:sz="0" w:space="0" w:color="auto"/>
        <w:right w:val="none" w:sz="0" w:space="0" w:color="auto"/>
      </w:divBdr>
    </w:div>
    <w:div w:id="1976834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rnwall-insight.com/cornwall-insight-comments-on-the-announcement-of-the-october-price-cap/"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ofgem.gov.uk/energy-policy-and-regulation/policy-and-regulatory-programmes/default-tariff-cap"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s://www.gov.uk/government/news/government-announces-energy-price-guarantee-for-families-and-businesses-while-urgently-taking-action-to-reform-broken-energy-market" TargetMode="Externa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s://questions-statements.parliament.uk/written-statements/detail/2022-09-08/hcws294"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taxbriefs.co.uk" TargetMode="External"/><Relationship Id="rId1" Type="http://schemas.openxmlformats.org/officeDocument/2006/relationships/hyperlink" Target="mailto:clientservices@taxbriefs.co.uk"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taxbriefs.co.uk" TargetMode="External"/><Relationship Id="rId1" Type="http://schemas.openxmlformats.org/officeDocument/2006/relationships/hyperlink" Target="mailto:clientservices@taxbriefs.co.uk"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lexandra.citron\AppData\Local\Microsoft\Windows\INetCache\Content.Outlook\FZNMP11H\Electricity%20Cap%20Trussed%20(002).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latin typeface="Arial" panose="020B0604020202020204" pitchFamily="34" charset="0"/>
                <a:cs typeface="Arial" panose="020B0604020202020204" pitchFamily="34" charset="0"/>
              </a:rPr>
              <a:t>Utility price</a:t>
            </a:r>
            <a:r>
              <a:rPr lang="en-GB" b="1" baseline="0">
                <a:latin typeface="Arial" panose="020B0604020202020204" pitchFamily="34" charset="0"/>
                <a:cs typeface="Arial" panose="020B0604020202020204" pitchFamily="34" charset="0"/>
              </a:rPr>
              <a:t> cap</a:t>
            </a:r>
            <a:endParaRPr lang="en-GB" b="1">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v>Ofgem Cap</c:v>
          </c:tx>
          <c:spPr>
            <a:solidFill>
              <a:srgbClr val="0070C0"/>
            </a:solidFill>
            <a:ln>
              <a:noFill/>
            </a:ln>
            <a:effectLst/>
          </c:spPr>
          <c:invertIfNegative val="0"/>
          <c:cat>
            <c:strRef>
              <c:f>Sheet1!$A$2:$A$14</c:f>
              <c:strCache>
                <c:ptCount val="13"/>
                <c:pt idx="0">
                  <c:v>2019 Winter</c:v>
                </c:pt>
                <c:pt idx="1">
                  <c:v>2019 Summer</c:v>
                </c:pt>
                <c:pt idx="2">
                  <c:v>2019/20 Winter</c:v>
                </c:pt>
                <c:pt idx="3">
                  <c:v>2020 Summer</c:v>
                </c:pt>
                <c:pt idx="4">
                  <c:v>2020/21 Winter</c:v>
                </c:pt>
                <c:pt idx="5">
                  <c:v>2021 Summer</c:v>
                </c:pt>
                <c:pt idx="6">
                  <c:v>2021/22 Winter</c:v>
                </c:pt>
                <c:pt idx="7">
                  <c:v>2022 Summer</c:v>
                </c:pt>
                <c:pt idx="8">
                  <c:v>2022 October </c:v>
                </c:pt>
                <c:pt idx="9">
                  <c:v>2023 January </c:v>
                </c:pt>
                <c:pt idx="10">
                  <c:v>2023 April </c:v>
                </c:pt>
                <c:pt idx="11">
                  <c:v>2023 July</c:v>
                </c:pt>
                <c:pt idx="12">
                  <c:v>2023 October </c:v>
                </c:pt>
              </c:strCache>
            </c:strRef>
          </c:cat>
          <c:val>
            <c:numRef>
              <c:f>Sheet1!$B$2:$B$14</c:f>
              <c:numCache>
                <c:formatCode>General</c:formatCode>
                <c:ptCount val="13"/>
                <c:pt idx="0">
                  <c:v>1104</c:v>
                </c:pt>
                <c:pt idx="1">
                  <c:v>1217</c:v>
                </c:pt>
                <c:pt idx="2">
                  <c:v>1143</c:v>
                </c:pt>
                <c:pt idx="3">
                  <c:v>1126</c:v>
                </c:pt>
                <c:pt idx="4">
                  <c:v>1042</c:v>
                </c:pt>
                <c:pt idx="5">
                  <c:v>1138</c:v>
                </c:pt>
                <c:pt idx="6">
                  <c:v>1277</c:v>
                </c:pt>
                <c:pt idx="7">
                  <c:v>1971</c:v>
                </c:pt>
                <c:pt idx="8">
                  <c:v>3549</c:v>
                </c:pt>
              </c:numCache>
            </c:numRef>
          </c:val>
          <c:extLst>
            <c:ext xmlns:c16="http://schemas.microsoft.com/office/drawing/2014/chart" uri="{C3380CC4-5D6E-409C-BE32-E72D297353CC}">
              <c16:uniqueId val="{00000000-328D-4008-83EB-A12E6CA59D29}"/>
            </c:ext>
          </c:extLst>
        </c:ser>
        <c:ser>
          <c:idx val="1"/>
          <c:order val="1"/>
          <c:tx>
            <c:v>Cornwall Insights Estimate</c:v>
          </c:tx>
          <c:spPr>
            <a:pattFill prst="dkUpDiag">
              <a:fgClr>
                <a:srgbClr val="0070C0"/>
              </a:fgClr>
              <a:bgClr>
                <a:schemeClr val="bg1"/>
              </a:bgClr>
            </a:pattFill>
            <a:ln>
              <a:noFill/>
            </a:ln>
            <a:effectLst/>
          </c:spPr>
          <c:invertIfNegative val="0"/>
          <c:cat>
            <c:strRef>
              <c:f>Sheet1!$A$2:$A$14</c:f>
              <c:strCache>
                <c:ptCount val="13"/>
                <c:pt idx="0">
                  <c:v>2019 Winter</c:v>
                </c:pt>
                <c:pt idx="1">
                  <c:v>2019 Summer</c:v>
                </c:pt>
                <c:pt idx="2">
                  <c:v>2019/20 Winter</c:v>
                </c:pt>
                <c:pt idx="3">
                  <c:v>2020 Summer</c:v>
                </c:pt>
                <c:pt idx="4">
                  <c:v>2020/21 Winter</c:v>
                </c:pt>
                <c:pt idx="5">
                  <c:v>2021 Summer</c:v>
                </c:pt>
                <c:pt idx="6">
                  <c:v>2021/22 Winter</c:v>
                </c:pt>
                <c:pt idx="7">
                  <c:v>2022 Summer</c:v>
                </c:pt>
                <c:pt idx="8">
                  <c:v>2022 October </c:v>
                </c:pt>
                <c:pt idx="9">
                  <c:v>2023 January </c:v>
                </c:pt>
                <c:pt idx="10">
                  <c:v>2023 April </c:v>
                </c:pt>
                <c:pt idx="11">
                  <c:v>2023 July</c:v>
                </c:pt>
                <c:pt idx="12">
                  <c:v>2023 October </c:v>
                </c:pt>
              </c:strCache>
            </c:strRef>
          </c:cat>
          <c:val>
            <c:numRef>
              <c:f>Sheet1!$C$2:$C$14</c:f>
              <c:numCache>
                <c:formatCode>General</c:formatCode>
                <c:ptCount val="13"/>
                <c:pt idx="9">
                  <c:v>5387</c:v>
                </c:pt>
                <c:pt idx="10">
                  <c:v>6616</c:v>
                </c:pt>
                <c:pt idx="11">
                  <c:v>5897</c:v>
                </c:pt>
                <c:pt idx="12">
                  <c:v>5887</c:v>
                </c:pt>
              </c:numCache>
            </c:numRef>
          </c:val>
          <c:extLst>
            <c:ext xmlns:c16="http://schemas.microsoft.com/office/drawing/2014/chart" uri="{C3380CC4-5D6E-409C-BE32-E72D297353CC}">
              <c16:uniqueId val="{00000001-328D-4008-83EB-A12E6CA59D29}"/>
            </c:ext>
          </c:extLst>
        </c:ser>
        <c:ser>
          <c:idx val="2"/>
          <c:order val="2"/>
          <c:tx>
            <c:v>Energy Price Guarantee</c:v>
          </c:tx>
          <c:spPr>
            <a:solidFill>
              <a:schemeClr val="tx1"/>
            </a:solidFill>
            <a:ln>
              <a:noFill/>
            </a:ln>
            <a:effectLst/>
          </c:spPr>
          <c:invertIfNegative val="0"/>
          <c:cat>
            <c:strRef>
              <c:f>Sheet1!$A$2:$A$14</c:f>
              <c:strCache>
                <c:ptCount val="13"/>
                <c:pt idx="0">
                  <c:v>2019 Winter</c:v>
                </c:pt>
                <c:pt idx="1">
                  <c:v>2019 Summer</c:v>
                </c:pt>
                <c:pt idx="2">
                  <c:v>2019/20 Winter</c:v>
                </c:pt>
                <c:pt idx="3">
                  <c:v>2020 Summer</c:v>
                </c:pt>
                <c:pt idx="4">
                  <c:v>2020/21 Winter</c:v>
                </c:pt>
                <c:pt idx="5">
                  <c:v>2021 Summer</c:v>
                </c:pt>
                <c:pt idx="6">
                  <c:v>2021/22 Winter</c:v>
                </c:pt>
                <c:pt idx="7">
                  <c:v>2022 Summer</c:v>
                </c:pt>
                <c:pt idx="8">
                  <c:v>2022 October </c:v>
                </c:pt>
                <c:pt idx="9">
                  <c:v>2023 January </c:v>
                </c:pt>
                <c:pt idx="10">
                  <c:v>2023 April </c:v>
                </c:pt>
                <c:pt idx="11">
                  <c:v>2023 July</c:v>
                </c:pt>
                <c:pt idx="12">
                  <c:v>2023 October </c:v>
                </c:pt>
              </c:strCache>
            </c:strRef>
          </c:cat>
          <c:val>
            <c:numRef>
              <c:f>Sheet1!$F$2:$F$14</c:f>
              <c:numCache>
                <c:formatCode>General</c:formatCode>
                <c:ptCount val="13"/>
                <c:pt idx="8">
                  <c:v>2500</c:v>
                </c:pt>
                <c:pt idx="9">
                  <c:v>2500</c:v>
                </c:pt>
                <c:pt idx="10">
                  <c:v>2500</c:v>
                </c:pt>
                <c:pt idx="11">
                  <c:v>2500</c:v>
                </c:pt>
                <c:pt idx="12">
                  <c:v>2500</c:v>
                </c:pt>
              </c:numCache>
            </c:numRef>
          </c:val>
          <c:extLst>
            <c:ext xmlns:c16="http://schemas.microsoft.com/office/drawing/2014/chart" uri="{C3380CC4-5D6E-409C-BE32-E72D297353CC}">
              <c16:uniqueId val="{00000002-328D-4008-83EB-A12E6CA59D29}"/>
            </c:ext>
          </c:extLst>
        </c:ser>
        <c:dLbls>
          <c:showLegendKey val="0"/>
          <c:showVal val="0"/>
          <c:showCatName val="0"/>
          <c:showSerName val="0"/>
          <c:showPercent val="0"/>
          <c:showBubbleSize val="0"/>
        </c:dLbls>
        <c:gapWidth val="0"/>
        <c:axId val="1282819152"/>
        <c:axId val="1283187440"/>
      </c:barChart>
      <c:catAx>
        <c:axId val="12828191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283187440"/>
        <c:crosses val="autoZero"/>
        <c:auto val="1"/>
        <c:lblAlgn val="ctr"/>
        <c:lblOffset val="100"/>
        <c:noMultiLvlLbl val="0"/>
      </c:catAx>
      <c:valAx>
        <c:axId val="1283187440"/>
        <c:scaling>
          <c:orientation val="minMax"/>
        </c:scaling>
        <c:delete val="0"/>
        <c:axPos val="b"/>
        <c:majorGridlines>
          <c:spPr>
            <a:ln w="9525" cap="flat" cmpd="sng" algn="ctr">
              <a:solidFill>
                <a:schemeClr val="tx1">
                  <a:lumMod val="15000"/>
                  <a:lumOff val="85000"/>
                </a:schemeClr>
              </a:solidFill>
              <a:round/>
            </a:ln>
            <a:effectLst/>
          </c:spPr>
        </c:majorGridlines>
        <c:numFmt formatCode="&quot;£&quot;#,##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282819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Paper">
      <a:dk1>
        <a:sysClr val="windowText" lastClr="000000"/>
      </a:dk1>
      <a:lt1>
        <a:sysClr val="window" lastClr="FFFFFF"/>
      </a:lt1>
      <a:dk2>
        <a:srgbClr val="2A2A2A"/>
      </a:dk2>
      <a:lt2>
        <a:srgbClr val="F9F4EE"/>
      </a:lt2>
      <a:accent1>
        <a:srgbClr val="E09B3B"/>
      </a:accent1>
      <a:accent2>
        <a:srgbClr val="487B97"/>
      </a:accent2>
      <a:accent3>
        <a:srgbClr val="847B97"/>
      </a:accent3>
      <a:accent4>
        <a:srgbClr val="D96362"/>
      </a:accent4>
      <a:accent5>
        <a:srgbClr val="2B8073"/>
      </a:accent5>
      <a:accent6>
        <a:srgbClr val="B09C7D"/>
      </a:accent6>
      <a:hlink>
        <a:srgbClr val="847B97"/>
      </a:hlink>
      <a:folHlink>
        <a:srgbClr val="487B97"/>
      </a:folHlink>
    </a:clrScheme>
    <a:fontScheme name="Custom 9">
      <a:majorFont>
        <a:latin typeface="Tahoma"/>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ahoma"/>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8B1AF29-3E0A-4B7D-A495-5E08346CC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594</Words>
  <Characters>3387</Characters>
  <Application>Microsoft Office Word</Application>
  <DocSecurity>4</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Allison Gumbs</dc:creator>
  <cp:keywords/>
  <dc:description/>
  <cp:lastModifiedBy>Cal Watson</cp:lastModifiedBy>
  <cp:revision>2</cp:revision>
  <cp:lastPrinted>2017-10-03T16:34:00Z</cp:lastPrinted>
  <dcterms:created xsi:type="dcterms:W3CDTF">2022-09-14T09:34:00Z</dcterms:created>
  <dcterms:modified xsi:type="dcterms:W3CDTF">2022-09-14T09:34:00Z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ssetID">
    <vt:lpwstr>TF10002028</vt:lpwstr>
  </property>
</Properties>
</file>